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B" w:rsidRPr="00B7190B" w:rsidRDefault="00062D5B" w:rsidP="00062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201010" wp14:editId="7B150083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B" w:rsidRPr="00B7190B" w:rsidRDefault="00062D5B" w:rsidP="00062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5B" w:rsidRPr="00B7190B" w:rsidRDefault="00062D5B" w:rsidP="00062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5B" w:rsidRPr="00B7190B" w:rsidRDefault="00062D5B" w:rsidP="00062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062D5B" w:rsidRPr="00B7190B" w:rsidTr="00062D5B">
        <w:trPr>
          <w:cantSplit/>
          <w:trHeight w:val="612"/>
        </w:trPr>
        <w:tc>
          <w:tcPr>
            <w:tcW w:w="4451" w:type="dxa"/>
          </w:tcPr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062D5B" w:rsidRPr="00B7190B" w:rsidTr="00062D5B">
        <w:trPr>
          <w:cantSplit/>
          <w:trHeight w:val="1258"/>
        </w:trPr>
        <w:tc>
          <w:tcPr>
            <w:tcW w:w="4451" w:type="dxa"/>
          </w:tcPr>
          <w:p w:rsidR="00062D5B" w:rsidRPr="00B7190B" w:rsidRDefault="00062D5B" w:rsidP="00062D5B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5B" w:rsidRPr="00B7190B" w:rsidRDefault="0031116C" w:rsidP="00062D5B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08.12.</w:t>
            </w:r>
            <w:r w:rsidR="00062D5B" w:rsidRPr="00B71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627</w:t>
            </w:r>
          </w:p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062D5B" w:rsidRPr="00B7190B" w:rsidRDefault="00062D5B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62D5B" w:rsidRPr="00B7190B" w:rsidRDefault="00062D5B" w:rsidP="00062D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62D5B" w:rsidRPr="00B7190B" w:rsidRDefault="00062D5B" w:rsidP="00062D5B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D5B" w:rsidRPr="00B7190B" w:rsidRDefault="0031116C" w:rsidP="00062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08.12.</w:t>
            </w:r>
            <w:bookmarkStart w:id="0" w:name="_GoBack"/>
            <w:bookmarkEnd w:id="0"/>
            <w:r w:rsidR="00062D5B" w:rsidRPr="00B7190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627 </w:t>
            </w:r>
            <w:r w:rsidR="00062D5B" w:rsidRPr="00B7190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062D5B" w:rsidRPr="00B7190B" w:rsidRDefault="00062D5B" w:rsidP="00062D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B719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A276D3" w:rsidRPr="00062D5B" w:rsidRDefault="00A276D3" w:rsidP="00062D5B">
      <w:pPr>
        <w:pStyle w:val="1"/>
        <w:spacing w:line="240" w:lineRule="auto"/>
        <w:ind w:right="420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62D5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внесении изменений в  муниципальную программу Янтиковского района Чувашской Республики «Комплексное развитие сельских территорий Янтиковского района Чувашской Республики»</w:t>
      </w:r>
    </w:p>
    <w:p w:rsidR="00A276D3" w:rsidRDefault="00A276D3" w:rsidP="00062D5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F57156" w:rsidRPr="00062D5B" w:rsidRDefault="00F57156" w:rsidP="00062D5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276D3" w:rsidRPr="00062D5B" w:rsidRDefault="00A276D3" w:rsidP="00F57156">
      <w:pPr>
        <w:spacing w:after="0" w:line="360" w:lineRule="auto"/>
        <w:ind w:firstLine="53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Администрация Янтиковского района </w:t>
      </w:r>
      <w:proofErr w:type="gramStart"/>
      <w:r w:rsidRPr="00062D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2D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:</w:t>
      </w:r>
    </w:p>
    <w:p w:rsidR="00A276D3" w:rsidRPr="00062D5B" w:rsidRDefault="00A276D3" w:rsidP="00F57156">
      <w:pPr>
        <w:spacing w:after="0" w:line="360" w:lineRule="auto"/>
        <w:ind w:firstLine="53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1. Внести в муниципальную программу Янтиковского района Чувашской Республики «</w:t>
      </w:r>
      <w:r w:rsidR="003A3B5F"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Комплексное развитие сельских территорий</w:t>
      </w: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Янтиковского района </w:t>
      </w:r>
      <w:r w:rsidRPr="00062D5B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», утвержденную постановлением администрации Я</w:t>
      </w:r>
      <w:r w:rsidR="003A3B5F"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нтиковского района от 04.03.2020 № 116</w:t>
      </w:r>
      <w:r w:rsidR="00F96032"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«О</w:t>
      </w: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F96032" w:rsidRPr="00062D5B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муниципальной программе</w:t>
      </w:r>
      <w:r w:rsidRPr="00062D5B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Янтиковского района Чувашской Республики «</w:t>
      </w:r>
      <w:r w:rsidR="003A3B5F" w:rsidRPr="00062D5B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Комплексное развитие сельских территорий Ян</w:t>
      </w:r>
      <w:r w:rsidRPr="00062D5B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тиковского района Чувашской Республики</w:t>
      </w:r>
      <w:r w:rsidRPr="00062D5B">
        <w:rPr>
          <w:rFonts w:ascii="Times New Roman" w:eastAsia="Cambria" w:hAnsi="Times New Roman" w:cs="Times New Roman"/>
          <w:sz w:val="28"/>
          <w:szCs w:val="28"/>
          <w:lang w:eastAsia="ru-RU"/>
        </w:rPr>
        <w:t>» (далее – Программа), следующие изменения:</w:t>
      </w:r>
    </w:p>
    <w:tbl>
      <w:tblPr>
        <w:tblW w:w="8467" w:type="pct"/>
        <w:tblLook w:val="04A0" w:firstRow="1" w:lastRow="0" w:firstColumn="1" w:lastColumn="0" w:noHBand="0" w:noVBand="1"/>
      </w:tblPr>
      <w:tblGrid>
        <w:gridCol w:w="10196"/>
        <w:gridCol w:w="380"/>
        <w:gridCol w:w="6111"/>
      </w:tblGrid>
      <w:tr w:rsidR="00A276D3" w:rsidRPr="00062D5B" w:rsidTr="00F92B9B">
        <w:tc>
          <w:tcPr>
            <w:tcW w:w="3055" w:type="pct"/>
          </w:tcPr>
          <w:p w:rsidR="00A276D3" w:rsidRPr="00062D5B" w:rsidRDefault="00A276D3" w:rsidP="00062D5B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1) в паспорте Программы:</w:t>
            </w:r>
          </w:p>
          <w:p w:rsidR="003A3B5F" w:rsidRPr="00062D5B" w:rsidRDefault="003A3B5F" w:rsidP="00062D5B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76D3" w:rsidRPr="00062D5B" w:rsidRDefault="00A276D3" w:rsidP="00062D5B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Cambr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позицию «Объемы финансирования Муниципальной программы с разбивкой по годам ее реализации» изложить в следующей редакции:</w:t>
            </w:r>
          </w:p>
        </w:tc>
        <w:tc>
          <w:tcPr>
            <w:tcW w:w="114" w:type="pct"/>
          </w:tcPr>
          <w:p w:rsidR="00A276D3" w:rsidRPr="00062D5B" w:rsidRDefault="00A276D3" w:rsidP="00062D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167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pct"/>
          </w:tcPr>
          <w:p w:rsidR="00A276D3" w:rsidRPr="00062D5B" w:rsidRDefault="00A276D3" w:rsidP="00062D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Cambria" w:hAnsi="Times New Roman" w:cs="Times New Roman"/>
                <w:bCs/>
                <w:sz w:val="28"/>
                <w:szCs w:val="28"/>
                <w:lang w:eastAsia="ru-RU"/>
              </w:rPr>
              <w:t>индекс физического объема инвестиций в основной капитал сельского хозяйства – 101,9 процентов»;</w:t>
            </w:r>
          </w:p>
        </w:tc>
      </w:tr>
    </w:tbl>
    <w:p w:rsidR="006072A1" w:rsidRPr="00AB3B21" w:rsidRDefault="006072A1" w:rsidP="00A276D3">
      <w:pPr>
        <w:shd w:val="clear" w:color="auto" w:fill="FFFFFF"/>
        <w:tabs>
          <w:tab w:val="left" w:pos="4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3B5F" w:rsidRPr="00AB3B21" w:rsidRDefault="003A3B5F" w:rsidP="006072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2"/>
        <w:gridCol w:w="6468"/>
      </w:tblGrid>
      <w:tr w:rsidR="003A3B5F" w:rsidRPr="00062D5B" w:rsidTr="00AF735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5F" w:rsidRPr="00062D5B" w:rsidRDefault="00DC5AA7" w:rsidP="00062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A3B5F"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3A3B5F" w:rsidRPr="00062D5B" w:rsidRDefault="003A3B5F" w:rsidP="00062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с разбивкой по </w:t>
            </w: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B5F" w:rsidRPr="00062D5B" w:rsidRDefault="003A3B5F" w:rsidP="00062D5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A9F" w:rsidRPr="00062D5B" w:rsidRDefault="00D94A9F" w:rsidP="00062D5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Прогнозируемый объем финансирования Муниципальной программы в 2020 - 2025 годах составляет 108628,1 тыс. рублей, в том числе:</w:t>
            </w:r>
          </w:p>
          <w:p w:rsidR="00D94A9F" w:rsidRPr="00062D5B" w:rsidRDefault="00D94A9F" w:rsidP="00062D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45899,3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49325,6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в 2022 году – 3320,2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3357,0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3357,0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2025 году – 3369,0 тыс. рублей;</w:t>
            </w:r>
          </w:p>
          <w:p w:rsidR="003A3B5F" w:rsidRPr="00062D5B" w:rsidRDefault="003A3B5F" w:rsidP="00062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– 13658,7 тыс. рублей (14,8 процентов), в том числе: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2404,5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2014,3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2300,9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2311,8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2311,8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2025 году – 2315,4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бюджета Чувашской Республики – 66650,7 тыс. рублей (61,3 процентов), в том числе: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32855,7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33701,9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23,2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23,3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23,3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2025 году – 23,3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9173,4 тыс. рублей (6,7 процентов), в том числе: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3973,9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5066,7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33,2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33,2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33,2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2025 году – 33,2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– 19145,3 тыс. рублей (15,5 процентов), в том числе: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2020 году – 6665,2тыс.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2021 году – 8542,7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2022 году – 962,9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2023 году – 988,7 тыс. рублей;</w:t>
            </w:r>
          </w:p>
          <w:p w:rsidR="00D94A9F" w:rsidRPr="00062D5B" w:rsidRDefault="00D94A9F" w:rsidP="00062D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2024 году – 988,7 тыс. рублей;</w:t>
            </w:r>
          </w:p>
          <w:p w:rsidR="00D94A9F" w:rsidRPr="00062D5B" w:rsidRDefault="00D94A9F" w:rsidP="00062D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6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2025 году – 997,1 тыс. рублей</w:t>
            </w:r>
          </w:p>
          <w:p w:rsidR="003A3B5F" w:rsidRPr="00062D5B" w:rsidRDefault="003A3B5F" w:rsidP="00062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F08" w:rsidRPr="00062D5B" w:rsidRDefault="001A4F08" w:rsidP="00062D5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062D5B">
        <w:rPr>
          <w:rFonts w:ascii="Times New Roman" w:hAnsi="Times New Roman" w:cs="Times New Roman"/>
          <w:sz w:val="28"/>
          <w:szCs w:val="28"/>
        </w:rPr>
        <w:t>в разделе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1A4F08" w:rsidRPr="00062D5B" w:rsidRDefault="001A4F08" w:rsidP="00062D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</w:p>
    <w:p w:rsidR="001A4F08" w:rsidRPr="00062D5B" w:rsidRDefault="001A4F08" w:rsidP="00062D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4F08" w:rsidRPr="00062D5B" w:rsidRDefault="001A4F08" w:rsidP="00062D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1A4F08" w:rsidRPr="00062D5B" w:rsidRDefault="001A4F08" w:rsidP="00062D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Прогнозируемый объем финансирования Муниципальной программы в 2020</w:t>
      </w:r>
      <w:r w:rsidR="00201FE0"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A139A0"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2025 годах составляет 108628,1</w:t>
      </w: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рублей, в том числе:</w:t>
      </w:r>
    </w:p>
    <w:p w:rsidR="001A4F08" w:rsidRPr="00062D5B" w:rsidRDefault="00A139A0" w:rsidP="00062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– 45899,3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49325,6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3320,2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3357,0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3357,0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2025 году – 3369,0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них средства: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бюджета – 13658,7</w:t>
      </w:r>
      <w:r w:rsidR="009E726C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(14,8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1A4F08" w:rsidRPr="00062D5B" w:rsidRDefault="009E726C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– 2404,5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9E726C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</w:t>
      </w:r>
      <w:r w:rsidR="00201FE0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– 2014,3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2300,9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2311,8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2311,8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2025 году – 2315,4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республиканского бюджет</w:t>
      </w:r>
      <w:r w:rsidR="00201FE0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Чувашско</w:t>
      </w:r>
      <w:r w:rsidR="00A139A0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Республики – 66650,7</w:t>
      </w:r>
      <w:r w:rsidR="009E726C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(61,3</w:t>
      </w: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1A4F08" w:rsidRPr="00062D5B" w:rsidRDefault="009E726C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– 32855,7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33701,9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23,2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23,3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23,3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2025 году – 23,3 тыс. рублей;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местный бюджет – 9173,4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(6,7 процентов), в том числе:</w:t>
      </w:r>
    </w:p>
    <w:p w:rsidR="001A4F08" w:rsidRPr="00062D5B" w:rsidRDefault="009E726C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– 3973,9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5066,7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33,2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33,2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2024 году – 33,2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2025 году – 33,2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внебюджетных источ</w:t>
      </w:r>
      <w:r w:rsidR="00201FE0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– 19145,3</w:t>
      </w:r>
      <w:r w:rsidR="009E726C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(15,5</w:t>
      </w: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том числе:</w:t>
      </w:r>
    </w:p>
    <w:p w:rsidR="001A4F08" w:rsidRPr="00062D5B" w:rsidRDefault="009E726C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2020 году – 6665,2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4F08" w:rsidRPr="00062D5B" w:rsidRDefault="00201FE0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– 8542,7</w:t>
      </w:r>
      <w:r w:rsidR="001A4F08"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году – 962,9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– 988,7 тыс. рублей;</w:t>
      </w:r>
    </w:p>
    <w:p w:rsidR="001A4F08" w:rsidRPr="00062D5B" w:rsidRDefault="001A4F08" w:rsidP="00062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2024 году – 988,7 тыс. рублей;</w:t>
      </w:r>
    </w:p>
    <w:p w:rsidR="001A4F08" w:rsidRPr="00062D5B" w:rsidRDefault="001A4F08" w:rsidP="00062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2025 году – 997,1 тыс. рублей</w:t>
      </w:r>
    </w:p>
    <w:p w:rsidR="001A4F08" w:rsidRPr="00062D5B" w:rsidRDefault="001A4F08" w:rsidP="00062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4F08" w:rsidRPr="00062D5B" w:rsidRDefault="001A4F08" w:rsidP="00062D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A4F08" w:rsidRPr="00062D5B" w:rsidRDefault="001A4F08" w:rsidP="00F57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.»;</w:t>
      </w:r>
      <w:proofErr w:type="gramEnd"/>
    </w:p>
    <w:p w:rsidR="001A4F08" w:rsidRPr="00062D5B" w:rsidRDefault="001A4F08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t xml:space="preserve">3) приложение № 1 к </w:t>
      </w:r>
      <w:r w:rsidR="00F92B9B" w:rsidRPr="00062D5B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062D5B">
        <w:rPr>
          <w:rFonts w:ascii="Times New Roman" w:hAnsi="Times New Roman" w:cs="Times New Roman"/>
          <w:bCs/>
          <w:sz w:val="28"/>
          <w:szCs w:val="28"/>
        </w:rPr>
        <w:t xml:space="preserve"> изложить в  редакции согласно приложению №1 к настоящему постановлению;</w:t>
      </w:r>
    </w:p>
    <w:p w:rsidR="001A4F08" w:rsidRPr="00062D5B" w:rsidRDefault="001A4F08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t xml:space="preserve">4) приложение № 2 к </w:t>
      </w:r>
      <w:r w:rsidR="00F92B9B" w:rsidRPr="00062D5B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062D5B">
        <w:rPr>
          <w:rFonts w:ascii="Times New Roman" w:hAnsi="Times New Roman" w:cs="Times New Roman"/>
          <w:bCs/>
          <w:sz w:val="28"/>
          <w:szCs w:val="28"/>
        </w:rPr>
        <w:t>рограмме изложить в  редакции согласно приложению №2 к настоящему постановлению;</w:t>
      </w:r>
    </w:p>
    <w:p w:rsidR="001A4F08" w:rsidRPr="00062D5B" w:rsidRDefault="00942DAD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t>5</w:t>
      </w:r>
      <w:r w:rsidR="001A4F08" w:rsidRPr="00062D5B">
        <w:rPr>
          <w:rFonts w:ascii="Times New Roman" w:hAnsi="Times New Roman" w:cs="Times New Roman"/>
          <w:bCs/>
          <w:sz w:val="28"/>
          <w:szCs w:val="28"/>
        </w:rPr>
        <w:t>) в приложении №3 к Муниципальной программе:</w:t>
      </w:r>
    </w:p>
    <w:p w:rsidR="001A4F08" w:rsidRPr="00062D5B" w:rsidRDefault="001A4F08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а) в паспорте подпрограммы «</w:t>
      </w:r>
      <w:r w:rsidR="00D42BD8"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доступным и комфортным жильем сельского населения</w:t>
      </w: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Муниципальной программы  (далее в пункте – подпрограмма):</w:t>
      </w:r>
    </w:p>
    <w:p w:rsidR="00F92B9B" w:rsidRPr="00062D5B" w:rsidRDefault="00F92B9B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2"/>
        <w:gridCol w:w="6468"/>
      </w:tblGrid>
      <w:tr w:rsidR="00F92B9B" w:rsidRPr="00062D5B" w:rsidTr="00F92B9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B9B" w:rsidRPr="00062D5B" w:rsidRDefault="00F92B9B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B9B" w:rsidRPr="00062D5B" w:rsidRDefault="00F92B9B" w:rsidP="00062D5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Прогнозируемые объемы бюджетных ассигнований на реализацию мероприятий подпрограммы в 2020 - 2025 годах составляют 25459,9 тыс. рублей, в том числе: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5242,9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6936,2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2022 году – 3320,20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3320,20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3320,20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3320,20 тыс. рублей;</w:t>
            </w:r>
          </w:p>
          <w:p w:rsidR="00F92B9B" w:rsidRPr="00062D5B" w:rsidRDefault="00F92B9B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из них средства: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федерального бюджета – 13341,2 тыс. рублей (52,4 процента), в том числе: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2404,5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1733,1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2022 году – 2300,9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2300,9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2300,9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2300,9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республиканского бюджета Чувашской Республики – 134,6 тыс. рублей (0,5 процентов), в том числе: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24,3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17,5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2022 году – 23,2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23,2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lastRenderedPageBreak/>
              <w:t>в 2024 году – 23,2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23,2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местный бюджет – 184,2 тыс. рублей (0,7 процент), в том числе: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26,4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25,0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2022 году – 33,2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33,2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33,2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33,2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внебюджетный источник – 11791,6 тыс. рублей (46,4 процентов), в том числе: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2020 году – 2779,4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2021 году – 5160,6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2022 году – 962,9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2023 году – 962,9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2024 году – 962,9 тыс. рублей;</w:t>
            </w:r>
          </w:p>
          <w:p w:rsidR="00AC7FAE" w:rsidRPr="00062D5B" w:rsidRDefault="00AC7FAE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2D5B">
              <w:rPr>
                <w:spacing w:val="2"/>
                <w:sz w:val="28"/>
                <w:szCs w:val="28"/>
              </w:rPr>
              <w:t>в 2025 году – 962,9 тыс. рублей</w:t>
            </w:r>
            <w:proofErr w:type="gramStart"/>
            <w:r w:rsidRPr="00062D5B">
              <w:rPr>
                <w:spacing w:val="2"/>
                <w:sz w:val="28"/>
                <w:szCs w:val="28"/>
              </w:rPr>
              <w:t>.»;</w:t>
            </w:r>
            <w:proofErr w:type="gramEnd"/>
          </w:p>
          <w:p w:rsidR="00F92B9B" w:rsidRPr="00062D5B" w:rsidRDefault="00F92B9B" w:rsidP="00062D5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B4F61" w:rsidRPr="00062D5B" w:rsidRDefault="007B4F61" w:rsidP="00062D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б) раздел </w:t>
      </w:r>
      <w:r w:rsidRPr="00062D5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«Перечень и сведения о целевых показателях (индикаторах) подпрограммы с расшифровкой плановых значений по годам ее реализации» изложить в следующей редакции: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 xml:space="preserve">«Раздел </w:t>
      </w:r>
      <w:r w:rsidRPr="00062D5B">
        <w:rPr>
          <w:spacing w:val="2"/>
          <w:sz w:val="28"/>
          <w:szCs w:val="28"/>
          <w:lang w:val="en-US"/>
        </w:rPr>
        <w:t>II</w:t>
      </w:r>
      <w:r w:rsidRPr="00062D5B">
        <w:rPr>
          <w:spacing w:val="2"/>
          <w:sz w:val="28"/>
          <w:szCs w:val="28"/>
        </w:rPr>
        <w:t>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Реализация мероприятий подпрограммы должна обеспечить: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 xml:space="preserve">объем ввода (приобретения) жилья для граждан, проживающих на сельских территориях, – </w:t>
      </w:r>
      <w:r w:rsidR="00AB4E93" w:rsidRPr="00062D5B">
        <w:rPr>
          <w:spacing w:val="2"/>
          <w:sz w:val="28"/>
          <w:szCs w:val="28"/>
        </w:rPr>
        <w:t>754</w:t>
      </w:r>
      <w:r w:rsidRPr="00062D5B">
        <w:rPr>
          <w:spacing w:val="2"/>
          <w:sz w:val="28"/>
          <w:szCs w:val="28"/>
        </w:rPr>
        <w:t xml:space="preserve"> кв. метр:</w:t>
      </w:r>
    </w:p>
    <w:p w:rsidR="007B4F61" w:rsidRPr="00062D5B" w:rsidRDefault="00AB4E93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107</w:t>
      </w:r>
      <w:r w:rsidR="007B4F61" w:rsidRPr="00062D5B">
        <w:rPr>
          <w:spacing w:val="2"/>
          <w:sz w:val="28"/>
          <w:szCs w:val="28"/>
        </w:rPr>
        <w:t xml:space="preserve"> кв. метр;</w:t>
      </w:r>
    </w:p>
    <w:p w:rsidR="007B4F61" w:rsidRPr="00062D5B" w:rsidRDefault="00C02DD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 xml:space="preserve">в 2021 году – </w:t>
      </w:r>
      <w:r w:rsidR="00AC7FAE" w:rsidRPr="00062D5B">
        <w:rPr>
          <w:spacing w:val="2"/>
          <w:sz w:val="28"/>
          <w:szCs w:val="28"/>
        </w:rPr>
        <w:t>337,1</w:t>
      </w:r>
      <w:r w:rsidR="007B4F61" w:rsidRPr="00062D5B">
        <w:rPr>
          <w:spacing w:val="2"/>
          <w:sz w:val="28"/>
          <w:szCs w:val="28"/>
        </w:rPr>
        <w:t xml:space="preserve"> кв. метра;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113 кв. метров;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120 кв. метров;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170 кв. метров;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200 кв. метров;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4 процента;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</w:t>
      </w:r>
      <w:r w:rsidR="00C02DDB" w:rsidRPr="00062D5B">
        <w:rPr>
          <w:spacing w:val="2"/>
          <w:sz w:val="28"/>
          <w:szCs w:val="28"/>
        </w:rPr>
        <w:t xml:space="preserve"> 2021 году – 6,5</w:t>
      </w:r>
      <w:r w:rsidRPr="00062D5B">
        <w:rPr>
          <w:spacing w:val="2"/>
          <w:sz w:val="28"/>
          <w:szCs w:val="28"/>
        </w:rPr>
        <w:t xml:space="preserve"> процента;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8 процентов;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8 процентов;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8 процентов;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8 процентов;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lastRenderedPageBreak/>
        <w:tab/>
      </w:r>
      <w:proofErr w:type="gramStart"/>
      <w:r w:rsidRPr="00062D5B">
        <w:rPr>
          <w:spacing w:val="2"/>
          <w:sz w:val="28"/>
          <w:szCs w:val="28"/>
        </w:rPr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 – 14 ед.:</w:t>
      </w:r>
      <w:proofErr w:type="gramEnd"/>
    </w:p>
    <w:p w:rsidR="007B4F61" w:rsidRPr="00062D5B" w:rsidRDefault="00AB4E93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2</w:t>
      </w:r>
      <w:r w:rsidR="007B4F61" w:rsidRPr="00062D5B">
        <w:rPr>
          <w:spacing w:val="2"/>
          <w:sz w:val="28"/>
          <w:szCs w:val="28"/>
        </w:rPr>
        <w:t xml:space="preserve"> ед.;</w:t>
      </w:r>
    </w:p>
    <w:p w:rsidR="007B4F61" w:rsidRPr="00062D5B" w:rsidRDefault="00AC7FAE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3</w:t>
      </w:r>
      <w:r w:rsidR="007B4F61" w:rsidRPr="00062D5B">
        <w:rPr>
          <w:spacing w:val="2"/>
          <w:sz w:val="28"/>
          <w:szCs w:val="28"/>
        </w:rPr>
        <w:t xml:space="preserve"> ед.;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2 ед.;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3 ед.;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3 ед.;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3 ед.;</w:t>
      </w:r>
    </w:p>
    <w:p w:rsidR="007B4F61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объем ввода жилья, предоставленного гражданам по договорам найма жилого помещения, – 300 кв. метров:</w:t>
      </w:r>
    </w:p>
    <w:p w:rsidR="007B4F61" w:rsidRPr="00062D5B" w:rsidRDefault="007B4F61" w:rsidP="00F571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2023 году – 0 кв. метров;</w:t>
      </w:r>
    </w:p>
    <w:p w:rsidR="007B4F61" w:rsidRPr="00062D5B" w:rsidRDefault="007B4F61" w:rsidP="00F571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в 2024 году – 100 кв. метров;</w:t>
      </w:r>
    </w:p>
    <w:p w:rsidR="007B4F61" w:rsidRPr="00062D5B" w:rsidRDefault="007B4F61" w:rsidP="00F571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62D5B">
        <w:rPr>
          <w:spacing w:val="2"/>
          <w:sz w:val="28"/>
          <w:szCs w:val="28"/>
        </w:rPr>
        <w:t>в 2025 году – 200 кв. метров</w:t>
      </w:r>
      <w:proofErr w:type="gramStart"/>
      <w:r w:rsidRPr="00062D5B">
        <w:rPr>
          <w:spacing w:val="2"/>
          <w:sz w:val="28"/>
          <w:szCs w:val="28"/>
        </w:rPr>
        <w:t>.»;</w:t>
      </w:r>
      <w:proofErr w:type="gramEnd"/>
    </w:p>
    <w:p w:rsidR="00F92B9B" w:rsidRPr="00062D5B" w:rsidRDefault="007B4F61" w:rsidP="00F57156">
      <w:pPr>
        <w:tabs>
          <w:tab w:val="left" w:pos="14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5B">
        <w:rPr>
          <w:rFonts w:ascii="Times New Roman" w:hAnsi="Times New Roman" w:cs="Times New Roman"/>
          <w:sz w:val="28"/>
          <w:szCs w:val="28"/>
        </w:rPr>
        <w:t>в</w:t>
      </w:r>
      <w:r w:rsidR="00F92B9B" w:rsidRPr="00062D5B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F92B9B" w:rsidRPr="00062D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2B9B" w:rsidRPr="00062D5B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F92B9B" w:rsidRPr="00062D5B" w:rsidRDefault="007B4F61" w:rsidP="00062D5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>«</w:t>
      </w:r>
      <w:r w:rsidR="00F92B9B" w:rsidRPr="00062D5B">
        <w:rPr>
          <w:spacing w:val="2"/>
          <w:sz w:val="28"/>
          <w:szCs w:val="28"/>
        </w:rPr>
        <w:t xml:space="preserve">Раздел </w:t>
      </w:r>
      <w:r w:rsidR="00F92B9B" w:rsidRPr="00062D5B">
        <w:rPr>
          <w:spacing w:val="2"/>
          <w:sz w:val="28"/>
          <w:szCs w:val="28"/>
          <w:lang w:val="en-US"/>
        </w:rPr>
        <w:t>IV</w:t>
      </w:r>
      <w:r w:rsidR="00F92B9B" w:rsidRPr="00062D5B">
        <w:rPr>
          <w:spacing w:val="2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 xml:space="preserve">Прогнозируемые объемы бюджетных ассигнований на реализацию мероприятий подпрограммы </w:t>
      </w:r>
      <w:r w:rsidR="00AB4E93" w:rsidRPr="00062D5B">
        <w:rPr>
          <w:spacing w:val="2"/>
          <w:sz w:val="28"/>
          <w:szCs w:val="28"/>
        </w:rPr>
        <w:t>в 2020</w:t>
      </w:r>
      <w:r w:rsidR="005023E8" w:rsidRPr="00062D5B">
        <w:rPr>
          <w:spacing w:val="2"/>
          <w:sz w:val="28"/>
          <w:szCs w:val="28"/>
        </w:rPr>
        <w:t xml:space="preserve"> - 2025 годах составляют 25459,9</w:t>
      </w:r>
      <w:r w:rsidRPr="00062D5B">
        <w:rPr>
          <w:spacing w:val="2"/>
          <w:sz w:val="28"/>
          <w:szCs w:val="28"/>
        </w:rPr>
        <w:t xml:space="preserve"> тыс. рублей, в том числе:</w:t>
      </w:r>
    </w:p>
    <w:p w:rsidR="00F92B9B" w:rsidRPr="00062D5B" w:rsidRDefault="00AB4E93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5242,9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895BE0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6936,2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3320,20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3320,20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3320,20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3320,20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из них средства: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федерального бюдже</w:t>
      </w:r>
      <w:r w:rsidR="005023E8" w:rsidRPr="00062D5B">
        <w:rPr>
          <w:spacing w:val="2"/>
          <w:sz w:val="28"/>
          <w:szCs w:val="28"/>
        </w:rPr>
        <w:t>та – 13341,2</w:t>
      </w:r>
      <w:r w:rsidR="00C02DDB" w:rsidRPr="00062D5B">
        <w:rPr>
          <w:spacing w:val="2"/>
          <w:sz w:val="28"/>
          <w:szCs w:val="28"/>
        </w:rPr>
        <w:t xml:space="preserve"> тыс. рублей (52,4</w:t>
      </w:r>
      <w:r w:rsidRPr="00062D5B">
        <w:rPr>
          <w:spacing w:val="2"/>
          <w:sz w:val="28"/>
          <w:szCs w:val="28"/>
        </w:rPr>
        <w:t xml:space="preserve"> процента), в том числе:</w:t>
      </w:r>
    </w:p>
    <w:p w:rsidR="00F92B9B" w:rsidRPr="00062D5B" w:rsidRDefault="00E115C7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2404,5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895BE0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1733,1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2300,9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2300,9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2300,9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2300,9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lastRenderedPageBreak/>
        <w:tab/>
        <w:t>республиканского бюдж</w:t>
      </w:r>
      <w:r w:rsidR="005023E8" w:rsidRPr="00062D5B">
        <w:rPr>
          <w:spacing w:val="2"/>
          <w:sz w:val="28"/>
          <w:szCs w:val="28"/>
        </w:rPr>
        <w:t>ета Чувашской Республики – 134,6</w:t>
      </w:r>
      <w:r w:rsidR="00C02DDB" w:rsidRPr="00062D5B">
        <w:rPr>
          <w:spacing w:val="2"/>
          <w:sz w:val="28"/>
          <w:szCs w:val="28"/>
        </w:rPr>
        <w:t xml:space="preserve"> тыс. рублей (0,5</w:t>
      </w:r>
      <w:r w:rsidRPr="00062D5B">
        <w:rPr>
          <w:spacing w:val="2"/>
          <w:sz w:val="28"/>
          <w:szCs w:val="28"/>
        </w:rPr>
        <w:t xml:space="preserve"> процентов), в том числе:</w:t>
      </w:r>
    </w:p>
    <w:p w:rsidR="00F92B9B" w:rsidRPr="00062D5B" w:rsidRDefault="00E115C7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24,3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895BE0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17,5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23,2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23,2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23,2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23,2 тыс. рублей;</w:t>
      </w:r>
    </w:p>
    <w:p w:rsidR="00F92B9B" w:rsidRPr="00062D5B" w:rsidRDefault="00C02DD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местный бюджет – 18</w:t>
      </w:r>
      <w:r w:rsidR="005023E8" w:rsidRPr="00062D5B">
        <w:rPr>
          <w:spacing w:val="2"/>
          <w:sz w:val="28"/>
          <w:szCs w:val="28"/>
        </w:rPr>
        <w:t>4,2</w:t>
      </w:r>
      <w:r w:rsidRPr="00062D5B">
        <w:rPr>
          <w:spacing w:val="2"/>
          <w:sz w:val="28"/>
          <w:szCs w:val="28"/>
        </w:rPr>
        <w:t xml:space="preserve"> тыс. рублей (0,7</w:t>
      </w:r>
      <w:r w:rsidR="00F92B9B" w:rsidRPr="00062D5B">
        <w:rPr>
          <w:spacing w:val="2"/>
          <w:sz w:val="28"/>
          <w:szCs w:val="28"/>
        </w:rPr>
        <w:t xml:space="preserve"> процент), в том числе: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26,4 тыс. рублей;</w:t>
      </w:r>
    </w:p>
    <w:p w:rsidR="00F92B9B" w:rsidRPr="00062D5B" w:rsidRDefault="00895BE0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25,0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33,2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33,2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33,2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33,2 тыс. рублей;</w:t>
      </w:r>
    </w:p>
    <w:p w:rsidR="00F92B9B" w:rsidRPr="00062D5B" w:rsidRDefault="005023E8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внебюджетный источник – 11791,6</w:t>
      </w:r>
      <w:r w:rsidR="00C02DDB" w:rsidRPr="00062D5B">
        <w:rPr>
          <w:spacing w:val="2"/>
          <w:sz w:val="28"/>
          <w:szCs w:val="28"/>
        </w:rPr>
        <w:t xml:space="preserve"> тыс. рублей (46,4</w:t>
      </w:r>
      <w:r w:rsidR="00F92B9B" w:rsidRPr="00062D5B">
        <w:rPr>
          <w:spacing w:val="2"/>
          <w:sz w:val="28"/>
          <w:szCs w:val="28"/>
        </w:rPr>
        <w:t xml:space="preserve"> процентов), в том числе:</w:t>
      </w:r>
    </w:p>
    <w:p w:rsidR="00F92B9B" w:rsidRPr="00062D5B" w:rsidRDefault="00E115C7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2020 году – 2779,4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895BE0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2021 году – 5160,6</w:t>
      </w:r>
      <w:r w:rsidR="00F92B9B" w:rsidRPr="00062D5B">
        <w:rPr>
          <w:spacing w:val="2"/>
          <w:sz w:val="28"/>
          <w:szCs w:val="28"/>
        </w:rPr>
        <w:t xml:space="preserve">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2022 году – 962,9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2023 году – 962,9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2024 году – 962,9 тыс. рублей;</w:t>
      </w:r>
    </w:p>
    <w:p w:rsidR="00F92B9B" w:rsidRPr="00062D5B" w:rsidRDefault="00F92B9B" w:rsidP="00062D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в 2025 году – 962,9 тыс. рублей.</w:t>
      </w:r>
    </w:p>
    <w:p w:rsidR="00F92B9B" w:rsidRPr="00062D5B" w:rsidRDefault="00F92B9B" w:rsidP="00062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2D5B">
        <w:rPr>
          <w:rFonts w:ascii="Times New Roman" w:hAnsi="Times New Roman" w:cs="Times New Roman"/>
          <w:spacing w:val="2"/>
          <w:sz w:val="28"/>
          <w:szCs w:val="28"/>
        </w:rPr>
        <w:tab/>
        <w:t>Объемы финансирования подпрограммы подлежат ежегодному уточнению</w:t>
      </w:r>
      <w:r w:rsidRPr="00062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исходя из реальных возможностей бюджетов всех уровней.</w:t>
      </w:r>
    </w:p>
    <w:p w:rsidR="00F92B9B" w:rsidRPr="00062D5B" w:rsidRDefault="00F92B9B" w:rsidP="00F571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2D5B">
        <w:rPr>
          <w:spacing w:val="2"/>
          <w:sz w:val="28"/>
          <w:szCs w:val="28"/>
        </w:rPr>
        <w:tab/>
        <w:t>Ресурсное обеспечение реализации подпрограммы за счет всех источников финансирования приведено в приложении № 1 к настоящей подпрограмме</w:t>
      </w:r>
      <w:proofErr w:type="gramStart"/>
      <w:r w:rsidRPr="00062D5B">
        <w:rPr>
          <w:spacing w:val="2"/>
          <w:sz w:val="28"/>
          <w:szCs w:val="28"/>
        </w:rPr>
        <w:t>.</w:t>
      </w:r>
      <w:r w:rsidR="007B4F61" w:rsidRPr="00062D5B">
        <w:rPr>
          <w:spacing w:val="2"/>
          <w:sz w:val="28"/>
          <w:szCs w:val="28"/>
        </w:rPr>
        <w:t>»;</w:t>
      </w:r>
      <w:proofErr w:type="gramEnd"/>
    </w:p>
    <w:p w:rsidR="007B4F61" w:rsidRPr="00062D5B" w:rsidRDefault="00E115C7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t>г</w:t>
      </w:r>
      <w:r w:rsidR="007B4F61" w:rsidRPr="00062D5B">
        <w:rPr>
          <w:rFonts w:ascii="Times New Roman" w:hAnsi="Times New Roman" w:cs="Times New Roman"/>
          <w:bCs/>
          <w:sz w:val="28"/>
          <w:szCs w:val="28"/>
        </w:rPr>
        <w:t>) приложение № 1 к подпрограмме изложить в  редакции согласно приложению №3 к настоящему постановлению;</w:t>
      </w:r>
    </w:p>
    <w:p w:rsidR="007B4F61" w:rsidRPr="00062D5B" w:rsidRDefault="00E115C7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2D5B">
        <w:rPr>
          <w:rFonts w:ascii="Times New Roman" w:hAnsi="Times New Roman" w:cs="Times New Roman"/>
          <w:bCs/>
          <w:sz w:val="28"/>
          <w:szCs w:val="28"/>
        </w:rPr>
        <w:t>6</w:t>
      </w:r>
      <w:r w:rsidR="007B4F61" w:rsidRPr="00062D5B">
        <w:rPr>
          <w:rFonts w:ascii="Times New Roman" w:hAnsi="Times New Roman" w:cs="Times New Roman"/>
          <w:bCs/>
          <w:sz w:val="28"/>
          <w:szCs w:val="28"/>
        </w:rPr>
        <w:t>) в приложении №4 к Муниципальной программе:</w:t>
      </w:r>
    </w:p>
    <w:p w:rsidR="007B4F61" w:rsidRPr="00062D5B" w:rsidRDefault="007B4F61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а) в паспорте подпрограммы «Создание и развитие инфраструктуры на сельских территориях»</w:t>
      </w:r>
      <w:r w:rsidR="00A667BA"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  (далее в пункте – подпрограмма):</w:t>
      </w:r>
    </w:p>
    <w:p w:rsidR="007B4F61" w:rsidRPr="00062D5B" w:rsidRDefault="007B4F61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D5B">
        <w:rPr>
          <w:rFonts w:ascii="Times New Roman" w:hAnsi="Times New Roman" w:cs="Times New Roman"/>
          <w:bCs/>
          <w:color w:val="000000"/>
          <w:sz w:val="28"/>
          <w:szCs w:val="28"/>
        </w:rPr>
        <w:t>позицию «Объемы финансирования реализации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2"/>
        <w:gridCol w:w="6468"/>
      </w:tblGrid>
      <w:tr w:rsidR="00A667BA" w:rsidRPr="00062D5B" w:rsidTr="009E726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7BA" w:rsidRPr="00062D5B" w:rsidRDefault="00DC5AA7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«</w:t>
            </w:r>
            <w:r w:rsidR="00A667BA" w:rsidRPr="00062D5B">
              <w:rPr>
                <w:sz w:val="28"/>
                <w:szCs w:val="28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прогнозируемые объемы бюджетных ассигнований на реализацию мероприятий подпрограммы в 2020</w:t>
            </w:r>
            <w:r w:rsidR="00895BE0" w:rsidRPr="00062D5B">
              <w:rPr>
                <w:sz w:val="28"/>
                <w:szCs w:val="28"/>
              </w:rPr>
              <w:t xml:space="preserve"> - 2025 годах составляют 83045,8</w:t>
            </w:r>
            <w:r w:rsidRPr="00062D5B">
              <w:rPr>
                <w:sz w:val="28"/>
                <w:szCs w:val="28"/>
              </w:rPr>
              <w:t xml:space="preserve"> тыс. рублей, в том числе: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</w:t>
            </w:r>
            <w:r w:rsidR="00F1016B" w:rsidRPr="00062D5B">
              <w:rPr>
                <w:sz w:val="28"/>
                <w:szCs w:val="28"/>
              </w:rPr>
              <w:t xml:space="preserve"> 40656,</w:t>
            </w:r>
            <w:r w:rsidR="00895BE0" w:rsidRPr="00062D5B">
              <w:rPr>
                <w:sz w:val="28"/>
                <w:szCs w:val="28"/>
              </w:rPr>
              <w:t>4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</w:t>
            </w:r>
            <w:r w:rsidR="00895BE0" w:rsidRPr="00062D5B">
              <w:rPr>
                <w:sz w:val="28"/>
                <w:szCs w:val="28"/>
              </w:rPr>
              <w:t xml:space="preserve"> 42389,4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lastRenderedPageBreak/>
              <w:t>в 2025 году – 0,0 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из них средства: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федерального бюджета – 281,2 тыс. рублей (0,3 процента), в том числе: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0,0 тыс. рублей;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281,2 тыс. рублей;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 тыс. рублей;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 тыс. рублей;</w:t>
            </w:r>
          </w:p>
          <w:p w:rsidR="00895BE0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республиканского бюджета Чувашской Республики –</w:t>
            </w:r>
            <w:r w:rsidR="00895BE0" w:rsidRPr="00062D5B">
              <w:rPr>
                <w:sz w:val="28"/>
                <w:szCs w:val="28"/>
              </w:rPr>
              <w:t xml:space="preserve"> 66515,8</w:t>
            </w:r>
            <w:r w:rsidR="00273E14" w:rsidRPr="00062D5B">
              <w:rPr>
                <w:sz w:val="28"/>
                <w:szCs w:val="28"/>
              </w:rPr>
              <w:t xml:space="preserve"> тыс. рублей (80</w:t>
            </w:r>
            <w:r w:rsidR="0092455F" w:rsidRPr="00062D5B">
              <w:rPr>
                <w:sz w:val="28"/>
                <w:szCs w:val="28"/>
              </w:rPr>
              <w:t>,</w:t>
            </w:r>
            <w:r w:rsidR="00895BE0" w:rsidRPr="00062D5B">
              <w:rPr>
                <w:sz w:val="28"/>
                <w:szCs w:val="28"/>
              </w:rPr>
              <w:t>1</w:t>
            </w:r>
            <w:r w:rsidRPr="00062D5B">
              <w:rPr>
                <w:sz w:val="28"/>
                <w:szCs w:val="28"/>
              </w:rPr>
              <w:t xml:space="preserve"> процентов), в том числе:</w:t>
            </w:r>
          </w:p>
          <w:p w:rsidR="00A667BA" w:rsidRPr="00062D5B" w:rsidRDefault="00273E14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32831,4</w:t>
            </w:r>
            <w:r w:rsidR="00A667BA"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895BE0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 33684,4</w:t>
            </w:r>
            <w:r w:rsidR="00A667BA"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 xml:space="preserve">местных бюджетов – </w:t>
            </w:r>
            <w:r w:rsidR="00895BE0" w:rsidRPr="00062D5B">
              <w:rPr>
                <w:sz w:val="28"/>
                <w:szCs w:val="28"/>
              </w:rPr>
              <w:t>8980,9 тыс. рублей (10,8</w:t>
            </w:r>
            <w:r w:rsidRPr="00062D5B">
              <w:rPr>
                <w:sz w:val="28"/>
                <w:szCs w:val="28"/>
              </w:rPr>
              <w:t xml:space="preserve"> процентов), в том числе:</w:t>
            </w:r>
          </w:p>
          <w:p w:rsidR="00A667BA" w:rsidRPr="00062D5B" w:rsidRDefault="00273E14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 3939,2</w:t>
            </w:r>
            <w:r w:rsidR="00A667BA"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</w:t>
            </w:r>
            <w:r w:rsidR="00895BE0" w:rsidRPr="00062D5B">
              <w:rPr>
                <w:sz w:val="28"/>
                <w:szCs w:val="28"/>
              </w:rPr>
              <w:t xml:space="preserve"> 5041,7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 xml:space="preserve">внебюджетных источников – </w:t>
            </w:r>
            <w:r w:rsidR="00895BE0" w:rsidRPr="00062D5B">
              <w:rPr>
                <w:sz w:val="28"/>
                <w:szCs w:val="28"/>
              </w:rPr>
              <w:t>7267,9 тыс. рублей (8,8</w:t>
            </w:r>
            <w:r w:rsidRPr="00062D5B">
              <w:rPr>
                <w:sz w:val="28"/>
                <w:szCs w:val="28"/>
              </w:rPr>
              <w:t xml:space="preserve"> процент</w:t>
            </w:r>
            <w:r w:rsidR="00273E14" w:rsidRPr="00062D5B">
              <w:rPr>
                <w:sz w:val="28"/>
                <w:szCs w:val="28"/>
              </w:rPr>
              <w:t>а</w:t>
            </w:r>
            <w:r w:rsidRPr="00062D5B">
              <w:rPr>
                <w:sz w:val="28"/>
                <w:szCs w:val="28"/>
              </w:rPr>
              <w:t>), в том числе: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2020 году –</w:t>
            </w:r>
            <w:r w:rsidR="00273E14" w:rsidRPr="00062D5B">
              <w:rPr>
                <w:sz w:val="28"/>
                <w:szCs w:val="28"/>
              </w:rPr>
              <w:t xml:space="preserve"> 3885,8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2021 году –</w:t>
            </w:r>
            <w:r w:rsidR="00895BE0" w:rsidRPr="00062D5B">
              <w:rPr>
                <w:sz w:val="28"/>
                <w:szCs w:val="28"/>
              </w:rPr>
              <w:t xml:space="preserve"> 3382,1</w:t>
            </w:r>
            <w:r w:rsidRPr="00062D5B">
              <w:rPr>
                <w:sz w:val="28"/>
                <w:szCs w:val="28"/>
              </w:rPr>
              <w:t xml:space="preserve">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2022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2023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2024 году – 0,0 тыс. рублей;</w:t>
            </w:r>
          </w:p>
          <w:p w:rsidR="00A667BA" w:rsidRPr="00062D5B" w:rsidRDefault="00A667BA" w:rsidP="00062D5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62D5B">
              <w:rPr>
                <w:sz w:val="28"/>
                <w:szCs w:val="28"/>
              </w:rPr>
              <w:t>в 2025 году – 0,0 тыс. рублей</w:t>
            </w:r>
            <w:r w:rsidR="00DC5AA7" w:rsidRPr="00062D5B">
              <w:rPr>
                <w:sz w:val="28"/>
                <w:szCs w:val="28"/>
              </w:rPr>
              <w:t>»;</w:t>
            </w:r>
          </w:p>
        </w:tc>
      </w:tr>
    </w:tbl>
    <w:p w:rsidR="00F92B9B" w:rsidRPr="00AB3B21" w:rsidRDefault="00F92B9B" w:rsidP="00F92B9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667BA" w:rsidRPr="00A86159" w:rsidRDefault="00A667BA" w:rsidP="00F57156">
      <w:pPr>
        <w:tabs>
          <w:tab w:val="left" w:pos="14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59">
        <w:rPr>
          <w:rFonts w:ascii="Times New Roman" w:hAnsi="Times New Roman" w:cs="Times New Roman"/>
          <w:sz w:val="28"/>
          <w:szCs w:val="28"/>
        </w:rPr>
        <w:t xml:space="preserve">б) раздел </w:t>
      </w:r>
      <w:r w:rsidRPr="00A861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6159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F96032" w:rsidRDefault="00F96032" w:rsidP="00F57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159">
        <w:rPr>
          <w:rFonts w:ascii="Times New Roman" w:hAnsi="Times New Roman" w:cs="Times New Roman"/>
          <w:sz w:val="28"/>
          <w:szCs w:val="28"/>
        </w:rPr>
        <w:t xml:space="preserve">«Раздел </w:t>
      </w:r>
      <w:r w:rsidRPr="00A861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6159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F57156" w:rsidRPr="00A86159" w:rsidRDefault="00F57156" w:rsidP="00F571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032" w:rsidRPr="00A86159" w:rsidRDefault="00F96032" w:rsidP="00F5715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lastRenderedPageBreak/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96032" w:rsidRPr="00A86159" w:rsidRDefault="00F96032" w:rsidP="00F5715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 xml:space="preserve">Прогнозируемые объемы бюджетных ассигнований на реализацию мероприятий подпрограммы в 2020 - 2025 годах составляют </w:t>
      </w:r>
      <w:r w:rsidR="00A55DE3" w:rsidRPr="00A86159">
        <w:rPr>
          <w:sz w:val="28"/>
          <w:szCs w:val="28"/>
        </w:rPr>
        <w:t>83045</w:t>
      </w:r>
      <w:r w:rsidR="006A2FA9" w:rsidRPr="00A86159">
        <w:rPr>
          <w:sz w:val="28"/>
          <w:szCs w:val="28"/>
        </w:rPr>
        <w:t>,8</w:t>
      </w:r>
      <w:r w:rsidRPr="00A86159">
        <w:rPr>
          <w:sz w:val="28"/>
          <w:szCs w:val="28"/>
        </w:rPr>
        <w:t xml:space="preserve"> тыс. рублей, в том числе: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 xml:space="preserve">в 2020 году – </w:t>
      </w:r>
      <w:r w:rsidR="00273E14" w:rsidRPr="00A86159">
        <w:rPr>
          <w:sz w:val="28"/>
          <w:szCs w:val="28"/>
        </w:rPr>
        <w:t>40656,</w:t>
      </w:r>
      <w:r w:rsidR="006A2FA9" w:rsidRPr="00A86159">
        <w:rPr>
          <w:sz w:val="28"/>
          <w:szCs w:val="28"/>
        </w:rPr>
        <w:t>4</w:t>
      </w:r>
      <w:r w:rsidRPr="00A86159">
        <w:rPr>
          <w:sz w:val="28"/>
          <w:szCs w:val="28"/>
        </w:rPr>
        <w:t xml:space="preserve"> тыс. рублей;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 xml:space="preserve">в 2021 году – </w:t>
      </w:r>
      <w:r w:rsidR="00A55DE3" w:rsidRPr="00A86159">
        <w:rPr>
          <w:sz w:val="28"/>
          <w:szCs w:val="28"/>
        </w:rPr>
        <w:t>42389,4</w:t>
      </w:r>
      <w:r w:rsidRPr="00A86159">
        <w:rPr>
          <w:sz w:val="28"/>
          <w:szCs w:val="28"/>
        </w:rPr>
        <w:t xml:space="preserve"> тыс. рублей;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в 2022 году – 0,0 тыс. рублей;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в 2023 году – 0,0 тыс. рублей;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в 2024 году – 0,0 тыс. рублей;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в 2025 году – 0,0 тыс. рублей;</w:t>
      </w:r>
    </w:p>
    <w:p w:rsidR="00273E14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из них средства: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федерального бюджета – 281,2 тыс. рублей (0,3 процента), в том числе: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2020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2021 году – 281,2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2022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2023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2024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2025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республиканского бюджета Чувашской Республики – 66515,8 тыс. рублей (80,1 процентов), в том числе: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2020 году – 32831,4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2021 году – 33684,4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2022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2023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2024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2025 году – 0,0 тыс. рублей;</w:t>
      </w:r>
    </w:p>
    <w:p w:rsidR="00A55DE3" w:rsidRPr="00A86159" w:rsidRDefault="00A55DE3" w:rsidP="00A86159">
      <w:pPr>
        <w:pStyle w:val="formattext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273E14" w:rsidRPr="00A86159" w:rsidRDefault="006A2FA9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местных бюджетов – 8980,9</w:t>
      </w:r>
      <w:r w:rsidR="00273E14" w:rsidRPr="00A86159">
        <w:rPr>
          <w:sz w:val="28"/>
          <w:szCs w:val="28"/>
        </w:rPr>
        <w:t xml:space="preserve"> тыс. рублей (10,</w:t>
      </w:r>
      <w:r w:rsidRPr="00A86159">
        <w:rPr>
          <w:sz w:val="28"/>
          <w:szCs w:val="28"/>
        </w:rPr>
        <w:t>8</w:t>
      </w:r>
      <w:r w:rsidR="00273E14" w:rsidRPr="00A86159">
        <w:rPr>
          <w:sz w:val="28"/>
          <w:szCs w:val="28"/>
        </w:rPr>
        <w:t xml:space="preserve"> процентов), в том числе: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2020 году – 3939,2 тыс. рублей;</w:t>
      </w:r>
    </w:p>
    <w:p w:rsidR="00273E14" w:rsidRPr="00A86159" w:rsidRDefault="00A55DE3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2021 году – 5041,7</w:t>
      </w:r>
      <w:r w:rsidR="00273E14" w:rsidRPr="00A86159">
        <w:rPr>
          <w:sz w:val="28"/>
          <w:szCs w:val="28"/>
        </w:rPr>
        <w:t xml:space="preserve">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2022 году – 0,0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2023 году – 0,0 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2024 году – 0,0 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2025 году – 0,0 тыс. рублей;</w:t>
      </w:r>
    </w:p>
    <w:p w:rsidR="00273E14" w:rsidRPr="00A86159" w:rsidRDefault="006A2FA9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вн</w:t>
      </w:r>
      <w:r w:rsidR="00895BE0" w:rsidRPr="00A86159">
        <w:rPr>
          <w:sz w:val="28"/>
          <w:szCs w:val="28"/>
        </w:rPr>
        <w:t>ебюджетных источников – 7267,9</w:t>
      </w:r>
      <w:r w:rsidRPr="00A86159">
        <w:rPr>
          <w:sz w:val="28"/>
          <w:szCs w:val="28"/>
        </w:rPr>
        <w:t xml:space="preserve"> тыс. рублей (8,8</w:t>
      </w:r>
      <w:r w:rsidR="00273E14" w:rsidRPr="00A86159">
        <w:rPr>
          <w:sz w:val="28"/>
          <w:szCs w:val="28"/>
        </w:rPr>
        <w:t xml:space="preserve"> процента), в том числе: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2020 году –</w:t>
      </w:r>
      <w:r w:rsidR="00FD64C4" w:rsidRPr="00A86159">
        <w:rPr>
          <w:sz w:val="28"/>
          <w:szCs w:val="28"/>
        </w:rPr>
        <w:t xml:space="preserve"> 3885,8</w:t>
      </w:r>
      <w:r w:rsidRPr="00A86159">
        <w:rPr>
          <w:sz w:val="28"/>
          <w:szCs w:val="28"/>
        </w:rPr>
        <w:t xml:space="preserve">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2021 году –</w:t>
      </w:r>
      <w:r w:rsidR="00A55DE3" w:rsidRPr="00A86159">
        <w:rPr>
          <w:sz w:val="28"/>
          <w:szCs w:val="28"/>
        </w:rPr>
        <w:t xml:space="preserve"> 3382,1</w:t>
      </w:r>
      <w:r w:rsidRPr="00A86159">
        <w:rPr>
          <w:sz w:val="28"/>
          <w:szCs w:val="28"/>
        </w:rPr>
        <w:t xml:space="preserve">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2022 году – 0,0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>в 2023 году – 0,0 тыс. рублей;</w:t>
      </w:r>
    </w:p>
    <w:p w:rsidR="00273E14" w:rsidRPr="00A86159" w:rsidRDefault="00273E14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96032" w:rsidRPr="00A86159" w:rsidRDefault="00F96032" w:rsidP="00F57156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lastRenderedPageBreak/>
        <w:tab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F96032" w:rsidRPr="00A86159" w:rsidRDefault="00F96032" w:rsidP="00F57156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tab/>
        <w:t>Ресурсное обеспечение реализации подпрограммы за счет всех источников финансирования приведено в приложении № 1 к настоящей подпрограмме</w:t>
      </w:r>
      <w:proofErr w:type="gramStart"/>
      <w:r w:rsidRPr="00A86159">
        <w:rPr>
          <w:sz w:val="28"/>
          <w:szCs w:val="28"/>
        </w:rPr>
        <w:t>.»</w:t>
      </w:r>
      <w:r w:rsidR="00760381" w:rsidRPr="00A86159">
        <w:rPr>
          <w:sz w:val="28"/>
          <w:szCs w:val="28"/>
        </w:rPr>
        <w:t>;</w:t>
      </w:r>
      <w:proofErr w:type="gramEnd"/>
    </w:p>
    <w:p w:rsidR="000037C3" w:rsidRPr="00A86159" w:rsidRDefault="00760381" w:rsidP="00F571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6159">
        <w:rPr>
          <w:rFonts w:ascii="Times New Roman" w:hAnsi="Times New Roman" w:cs="Times New Roman"/>
          <w:bCs/>
          <w:sz w:val="28"/>
          <w:szCs w:val="28"/>
        </w:rPr>
        <w:t>в</w:t>
      </w:r>
      <w:r w:rsidR="000037C3" w:rsidRPr="00A86159">
        <w:rPr>
          <w:rFonts w:ascii="Times New Roman" w:hAnsi="Times New Roman" w:cs="Times New Roman"/>
          <w:bCs/>
          <w:sz w:val="28"/>
          <w:szCs w:val="28"/>
        </w:rPr>
        <w:t>) приложение № 1 к подпрограмме изложить в  редакции согласно приложению №4 к настоящему постановлению.</w:t>
      </w:r>
    </w:p>
    <w:p w:rsidR="00760381" w:rsidRPr="00A86159" w:rsidRDefault="00AF7352" w:rsidP="00F5715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A86159">
        <w:rPr>
          <w:rFonts w:ascii="Times New Roman" w:hAnsi="Times New Roman" w:cs="Times New Roman"/>
          <w:sz w:val="28"/>
          <w:szCs w:val="28"/>
        </w:rPr>
        <w:t>7</w:t>
      </w:r>
      <w:r w:rsidR="00760381" w:rsidRPr="00A861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B3B21" w:rsidRPr="00A8615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60381" w:rsidRPr="00A8615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57156" w:rsidRDefault="00F57156" w:rsidP="00A8615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57156" w:rsidRDefault="00F57156" w:rsidP="00A8615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60381" w:rsidRPr="00A86159" w:rsidRDefault="00760381" w:rsidP="00A8615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8615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0381" w:rsidRPr="00A86159" w:rsidRDefault="00760381" w:rsidP="00794DA4">
      <w:pPr>
        <w:tabs>
          <w:tab w:val="left" w:pos="7155"/>
          <w:tab w:val="right" w:pos="9361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86159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="00A86159">
        <w:rPr>
          <w:rFonts w:ascii="Times New Roman" w:hAnsi="Times New Roman" w:cs="Times New Roman"/>
          <w:sz w:val="28"/>
          <w:szCs w:val="28"/>
        </w:rPr>
        <w:t xml:space="preserve">  </w:t>
      </w:r>
      <w:r w:rsidR="00F57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4DA4" w:rsidRPr="00A86159">
        <w:rPr>
          <w:rFonts w:ascii="Times New Roman" w:hAnsi="Times New Roman" w:cs="Times New Roman"/>
          <w:sz w:val="28"/>
          <w:szCs w:val="28"/>
        </w:rPr>
        <w:t>В.Б. Михайлов</w:t>
      </w:r>
      <w:r w:rsidR="00794DA4" w:rsidRPr="0079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32" w:rsidRPr="00A86159" w:rsidRDefault="00F96032" w:rsidP="00A86159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A86159">
        <w:rPr>
          <w:sz w:val="28"/>
          <w:szCs w:val="28"/>
        </w:rPr>
        <w:br/>
      </w:r>
    </w:p>
    <w:p w:rsidR="00A86159" w:rsidRPr="00A86159" w:rsidRDefault="00A86159" w:rsidP="00A86159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6159" w:rsidRDefault="00A86159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4DA4" w:rsidRDefault="00794DA4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7156" w:rsidRDefault="00F57156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23CF" w:rsidRP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№1</w:t>
      </w:r>
    </w:p>
    <w:p w:rsidR="00DE23CF" w:rsidRP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DE23CF" w:rsidRP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 района</w:t>
      </w:r>
    </w:p>
    <w:p w:rsidR="00DE23CF" w:rsidRP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2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___.___.2021 № ____</w:t>
      </w:r>
    </w:p>
    <w:p w:rsid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23CF" w:rsidRDefault="00DE23CF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188B" w:rsidRPr="00A568D2" w:rsidRDefault="00EA188B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1</w:t>
      </w:r>
    </w:p>
    <w:p w:rsidR="00EA188B" w:rsidRPr="00A568D2" w:rsidRDefault="00EA188B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  <w:r w:rsidR="0004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 района</w:t>
      </w:r>
      <w:r w:rsidR="0004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Чувашской Республики</w:t>
      </w:r>
    </w:p>
    <w:p w:rsidR="00EA188B" w:rsidRPr="00A568D2" w:rsidRDefault="00EA188B" w:rsidP="000403A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развитие сельских</w:t>
      </w:r>
      <w:r w:rsidR="000403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территорий Янтиковского района Чувашской </w:t>
      </w:r>
      <w:r w:rsidR="00F571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56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EA188B" w:rsidRPr="00A568D2" w:rsidRDefault="00EA188B" w:rsidP="00EA18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A188B" w:rsidRPr="00BD3196" w:rsidRDefault="00EA188B" w:rsidP="00EA18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целевых показателях (индикаторах) Муниципальной программы Янтиковского района Чувашской Республики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развитие сельских территорий Янтиковского района Чувашской Республики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подпрограмм Муниципальной программы Янтиковского района Чувашской Республики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развитие сельских территорий Янтиковского района Чувашской Республики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значениях    </w:t>
      </w:r>
    </w:p>
    <w:p w:rsidR="00EA188B" w:rsidRPr="00BD3196" w:rsidRDefault="00EA188B" w:rsidP="00EA18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BD3196">
        <w:rPr>
          <w:rFonts w:ascii="Times New Roman" w:eastAsia="Times New Roman" w:hAnsi="Times New Roman" w:cs="Times New Roman"/>
          <w:sz w:val="2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28"/>
        <w:gridCol w:w="1349"/>
        <w:gridCol w:w="415"/>
        <w:gridCol w:w="766"/>
        <w:gridCol w:w="766"/>
        <w:gridCol w:w="766"/>
        <w:gridCol w:w="766"/>
        <w:gridCol w:w="766"/>
        <w:gridCol w:w="766"/>
      </w:tblGrid>
      <w:tr w:rsidR="00EA188B" w:rsidRPr="00A568D2" w:rsidTr="00DE23CF">
        <w:trPr>
          <w:trHeight w:val="15"/>
        </w:trPr>
        <w:tc>
          <w:tcPr>
            <w:tcW w:w="550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hideMark/>
          </w:tcPr>
          <w:p w:rsidR="00EA188B" w:rsidRPr="00A568D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88B" w:rsidRPr="00AF7352" w:rsidTr="00DE23CF">
        <w:trPr>
          <w:trHeight w:val="492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EA188B" w:rsidRPr="00AF7352" w:rsidTr="00DE23CF">
        <w:tc>
          <w:tcPr>
            <w:tcW w:w="5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188B" w:rsidRPr="00AF7352" w:rsidTr="00DE23CF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Муниципальная программа Янтиковского района Чувашской Республики  «Комплексное развитие сельских территорий Янтиковского района Чувашской Республики»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среднемесячных располагаемых ресурсов сельского и городского домохозяйств Чувашской Республики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EA188B" w:rsidRPr="00AF7352" w:rsidTr="00DE23CF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A55DE3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0403AA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A55DE3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предоставленных жилищных (ипотечных) кредитов (займов) гражданам на строительство (приобретение) жилого помещения (жилого дома) </w:t>
            </w: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сельских территориях (в сельских агломерациях)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55DE3" w:rsidRDefault="00A55DE3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A188B" w:rsidRPr="00AF7352" w:rsidTr="00DE23CF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локальных водопроводов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проектов </w:t>
            </w:r>
            <w:proofErr w:type="gramStart"/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сельских территорий или сельских агломераций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A55DE3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</w:t>
            </w: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A188B" w:rsidRPr="00AF7352" w:rsidTr="00DE23CF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рынка труда (кадрового потенциала) на сельских территориях»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188B" w:rsidRPr="00AF7352" w:rsidTr="00DE23C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88B" w:rsidRPr="00AF7352" w:rsidRDefault="00EA188B" w:rsidP="00DE23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A188B" w:rsidRDefault="00EA188B" w:rsidP="00EA18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188B" w:rsidRDefault="00EA188B" w:rsidP="00EA188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F2E79" w:rsidRPr="00EA188B" w:rsidRDefault="009F2E79" w:rsidP="00EA188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9F2E79" w:rsidRPr="00EA188B" w:rsidSect="00F57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23CF" w:rsidRPr="00DE23CF" w:rsidRDefault="00DE23CF" w:rsidP="00DE23CF">
      <w:pPr>
        <w:spacing w:after="0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>
        <w:rPr>
          <w:rFonts w:ascii="Times New Roman" w:eastAsia="Cambria" w:hAnsi="Times New Roman" w:cs="Cambria"/>
          <w:sz w:val="24"/>
          <w:szCs w:val="24"/>
          <w:lang w:eastAsia="ru-RU"/>
        </w:rPr>
        <w:lastRenderedPageBreak/>
        <w:t>Приложение №2</w:t>
      </w: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к постановлению администрации</w:t>
      </w: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Янтиковского района</w:t>
      </w: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b/>
          <w:caps/>
          <w:sz w:val="24"/>
          <w:szCs w:val="24"/>
          <w:lang w:eastAsia="ru-RU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от ___.___.2021 № ____</w:t>
      </w:r>
    </w:p>
    <w:p w:rsidR="00DE23CF" w:rsidRDefault="00DE23CF" w:rsidP="00DE23CF">
      <w:pPr>
        <w:shd w:val="clear" w:color="auto" w:fill="FFFFFF"/>
        <w:tabs>
          <w:tab w:val="left" w:pos="12645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E23CF" w:rsidRDefault="00DE23CF" w:rsidP="00DE23CF">
      <w:pPr>
        <w:shd w:val="clear" w:color="auto" w:fill="FFFFFF"/>
        <w:tabs>
          <w:tab w:val="left" w:pos="90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</w:p>
    <w:p w:rsidR="006072A1" w:rsidRPr="00BD3196" w:rsidRDefault="006072A1" w:rsidP="00DE23CF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2</w:t>
      </w:r>
      <w:r w:rsidRP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муниципальной программе</w:t>
      </w:r>
      <w:r w:rsid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Янтиковского района Чувашской Республики</w:t>
      </w:r>
      <w:r w:rsid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«Комплексное развитие сельских</w:t>
      </w:r>
      <w:r w:rsid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3B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 Янтиковского района Чувашской Республики»</w:t>
      </w:r>
    </w:p>
    <w:p w:rsidR="006072A1" w:rsidRPr="00BD3196" w:rsidRDefault="006072A1" w:rsidP="006072A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D3196"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Ресурсное обеспечение 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BD31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Комплексное развитие сельских территорий Янтиковского района Чувашской Республики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392"/>
        <w:gridCol w:w="1614"/>
        <w:gridCol w:w="1111"/>
        <w:gridCol w:w="1859"/>
        <w:gridCol w:w="996"/>
        <w:gridCol w:w="993"/>
        <w:gridCol w:w="876"/>
        <w:gridCol w:w="993"/>
        <w:gridCol w:w="993"/>
        <w:gridCol w:w="993"/>
      </w:tblGrid>
      <w:tr w:rsidR="006072A1" w:rsidRPr="00BD3196" w:rsidTr="00DE23CF">
        <w:trPr>
          <w:trHeight w:val="15"/>
        </w:trPr>
        <w:tc>
          <w:tcPr>
            <w:tcW w:w="1750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2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4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1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9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072A1" w:rsidRPr="00BD3196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72A1" w:rsidRPr="00AF7352" w:rsidTr="00DE23CF">
        <w:trPr>
          <w:trHeight w:val="887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Янтиковского района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072A1" w:rsidRPr="00AF7352" w:rsidTr="00DE23CF">
        <w:trPr>
          <w:trHeight w:val="65"/>
        </w:trPr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6072A1" w:rsidRPr="00AF7352" w:rsidTr="00DE23CF"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Янтиковского района Чувашской Республики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сельских территорий Янтиковского района  Чувашской Республики»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45899,2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244CBC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49325,6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3369,0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244CBC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2315,4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831, 832, 855, 857, 867, 882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244CBC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33701,9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244CBC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5066,7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774CD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6665,2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244CBC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8542,7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</w:tr>
      <w:tr w:rsidR="008466D0" w:rsidRPr="00AF7352" w:rsidTr="00DE23CF"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754518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8466D0" w:rsidRPr="00AF7352" w:rsidTr="00DE23CF">
        <w:tc>
          <w:tcPr>
            <w:tcW w:w="175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754518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8466D0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754518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8466D0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754518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8466D0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66D0" w:rsidRPr="00AF7352" w:rsidRDefault="008466D0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754518" w:rsidP="009E72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6D0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«Улучшение жилищных условий граждан на селе»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466D0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40656,3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42389,4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831, 832, 855, 857, 867, 882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32831,4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33684,4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5041,7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автомобильных дорог»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39733,6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832, 882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31431,6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7545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5021,4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3885,8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FE2344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54518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CBC" w:rsidRPr="00AF7352" w:rsidTr="00DE23CF">
        <w:tc>
          <w:tcPr>
            <w:tcW w:w="17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244CBC" w:rsidRPr="00AF7352" w:rsidTr="00DE23CF">
        <w:tc>
          <w:tcPr>
            <w:tcW w:w="17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3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развитие территорий населенных пунктов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244CBC" w:rsidRPr="00AF7352" w:rsidTr="00DE23CF">
        <w:tc>
          <w:tcPr>
            <w:tcW w:w="17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2250,0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244CBC" w:rsidRPr="00AF7352" w:rsidTr="00DE23CF">
        <w:tc>
          <w:tcPr>
            <w:tcW w:w="17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244CBC" w:rsidRPr="00AF7352" w:rsidTr="00DE23CF">
        <w:tc>
          <w:tcPr>
            <w:tcW w:w="17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4CBC" w:rsidRPr="00AF7352" w:rsidRDefault="00244CBC" w:rsidP="0032671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рынка труда (кадрового потенциала) на сельских территориях»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6072A1" w:rsidRPr="00AF7352" w:rsidTr="00DE23CF"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реализации муниципальной программы Янтиковского района Чувашской Республики «Комплексное развитие сельских территорий Янтиковского района Чувашской Республики»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72A1" w:rsidRPr="00AF7352" w:rsidTr="00DE23CF"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072A1" w:rsidRPr="00AF7352" w:rsidRDefault="006072A1" w:rsidP="006072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072A1" w:rsidRPr="00AF7352" w:rsidRDefault="006072A1" w:rsidP="006072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6072A1" w:rsidRPr="00AF7352" w:rsidRDefault="006072A1" w:rsidP="006072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EA188B" w:rsidRPr="00AF7352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:rsidR="00EA188B" w:rsidRPr="00AF7352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6072A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EA188B" w:rsidRDefault="00EA188B" w:rsidP="00DE23C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AB3B21" w:rsidRDefault="00AB3B21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</w:p>
    <w:p w:rsidR="007E1BEE" w:rsidRDefault="007E1BEE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>
        <w:rPr>
          <w:rFonts w:ascii="Times New Roman" w:eastAsia="Cambria" w:hAnsi="Times New Roman" w:cs="Cambria"/>
          <w:sz w:val="24"/>
          <w:szCs w:val="24"/>
          <w:lang w:eastAsia="ru-RU"/>
        </w:rPr>
        <w:t>Приложение №3</w:t>
      </w: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к постановлению администрации</w:t>
      </w:r>
    </w:p>
    <w:p w:rsidR="00DE23CF" w:rsidRPr="00DE23CF" w:rsidRDefault="00DE23CF" w:rsidP="00DE23CF">
      <w:pPr>
        <w:spacing w:after="0" w:line="240" w:lineRule="auto"/>
        <w:ind w:left="9072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Янтиковского района</w:t>
      </w:r>
    </w:p>
    <w:p w:rsidR="00EA188B" w:rsidRDefault="00DE23CF" w:rsidP="00DE23CF">
      <w:pPr>
        <w:spacing w:after="0" w:line="240" w:lineRule="auto"/>
        <w:ind w:left="9072"/>
        <w:rPr>
          <w:spacing w:val="2"/>
        </w:rPr>
      </w:pPr>
      <w:r w:rsidRPr="00DE23CF">
        <w:rPr>
          <w:rFonts w:ascii="Times New Roman" w:eastAsia="Cambria" w:hAnsi="Times New Roman" w:cs="Cambria"/>
          <w:sz w:val="24"/>
          <w:szCs w:val="24"/>
          <w:lang w:eastAsia="ru-RU"/>
        </w:rPr>
        <w:t>от ___.___.2021 № ____</w:t>
      </w:r>
    </w:p>
    <w:p w:rsidR="00EA188B" w:rsidRDefault="00EA188B" w:rsidP="00DE23C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072A1" w:rsidRPr="00BD3196" w:rsidRDefault="006072A1" w:rsidP="00DE23CF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>Приложение № 1</w:t>
      </w:r>
    </w:p>
    <w:p w:rsidR="006072A1" w:rsidRPr="00BD3196" w:rsidRDefault="006072A1" w:rsidP="00DE23CF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 xml:space="preserve">к подпрограмме </w:t>
      </w:r>
      <w:r>
        <w:rPr>
          <w:spacing w:val="2"/>
        </w:rPr>
        <w:t>«</w:t>
      </w:r>
      <w:r w:rsidRPr="00BD3196">
        <w:rPr>
          <w:spacing w:val="2"/>
        </w:rPr>
        <w:t>Создание условий</w:t>
      </w:r>
      <w:r w:rsidR="00DE23CF">
        <w:rPr>
          <w:spacing w:val="2"/>
        </w:rPr>
        <w:t xml:space="preserve"> </w:t>
      </w:r>
      <w:r w:rsidRPr="00BD3196">
        <w:rPr>
          <w:spacing w:val="2"/>
        </w:rPr>
        <w:t>для обеспечения доступным и комфортным жильем</w:t>
      </w:r>
    </w:p>
    <w:p w:rsidR="006072A1" w:rsidRPr="00BD3196" w:rsidRDefault="006072A1" w:rsidP="00DE23CF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>сельского населения</w:t>
      </w:r>
      <w:r>
        <w:rPr>
          <w:spacing w:val="2"/>
        </w:rPr>
        <w:t>»</w:t>
      </w:r>
      <w:r w:rsidRPr="00BD3196">
        <w:rPr>
          <w:spacing w:val="2"/>
        </w:rPr>
        <w:t xml:space="preserve"> муниципальной программы</w:t>
      </w:r>
    </w:p>
    <w:p w:rsidR="006072A1" w:rsidRPr="00BD3196" w:rsidRDefault="006072A1" w:rsidP="00DE23CF">
      <w:pPr>
        <w:pStyle w:val="formattext"/>
        <w:shd w:val="clear" w:color="auto" w:fill="FFFFFF"/>
        <w:spacing w:before="0" w:beforeAutospacing="0" w:after="0" w:afterAutospacing="0"/>
        <w:ind w:left="9072"/>
        <w:jc w:val="both"/>
        <w:textAlignment w:val="baseline"/>
        <w:rPr>
          <w:spacing w:val="2"/>
        </w:rPr>
      </w:pPr>
      <w:r w:rsidRPr="00BD3196">
        <w:rPr>
          <w:spacing w:val="2"/>
        </w:rPr>
        <w:t xml:space="preserve">Янтиковского района Чувашской Республики </w:t>
      </w:r>
      <w:r>
        <w:rPr>
          <w:spacing w:val="2"/>
        </w:rPr>
        <w:t>«</w:t>
      </w:r>
      <w:r w:rsidRPr="00BD3196">
        <w:rPr>
          <w:spacing w:val="2"/>
        </w:rPr>
        <w:t>Комплексное развитие</w:t>
      </w:r>
      <w:r w:rsidR="00DE23CF">
        <w:rPr>
          <w:spacing w:val="2"/>
        </w:rPr>
        <w:t xml:space="preserve"> </w:t>
      </w:r>
      <w:r w:rsidRPr="00BD3196">
        <w:rPr>
          <w:spacing w:val="2"/>
        </w:rPr>
        <w:t>сельских территорий Янтиковского района Чувашской Республики</w:t>
      </w:r>
      <w:r>
        <w:rPr>
          <w:spacing w:val="2"/>
        </w:rPr>
        <w:t>»</w:t>
      </w:r>
    </w:p>
    <w:p w:rsidR="006072A1" w:rsidRPr="00BD3196" w:rsidRDefault="006072A1" w:rsidP="00DE23C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0036B4">
        <w:rPr>
          <w:color w:val="4F6228" w:themeColor="accent3" w:themeShade="80"/>
          <w:spacing w:val="2"/>
          <w:sz w:val="41"/>
          <w:szCs w:val="41"/>
        </w:rPr>
        <w:br/>
      </w:r>
      <w:r w:rsidRPr="00BD3196">
        <w:rPr>
          <w:spacing w:val="2"/>
        </w:rPr>
        <w:t xml:space="preserve">Ресурсное обеспечение реализации подпрограммы </w:t>
      </w:r>
      <w:r>
        <w:rPr>
          <w:spacing w:val="2"/>
        </w:rPr>
        <w:t>«</w:t>
      </w:r>
      <w:r w:rsidRPr="00BD3196">
        <w:rPr>
          <w:spacing w:val="2"/>
        </w:rPr>
        <w:t>Создание условий для обеспечения доступным и комфортным жильем сельского населения</w:t>
      </w:r>
      <w:r>
        <w:rPr>
          <w:spacing w:val="2"/>
        </w:rPr>
        <w:t>»</w:t>
      </w:r>
      <w:r w:rsidRPr="00BD3196">
        <w:rPr>
          <w:spacing w:val="2"/>
        </w:rPr>
        <w:t xml:space="preserve"> муниципальной программы Янтиковского района Чувашской Республики </w:t>
      </w:r>
      <w:r>
        <w:rPr>
          <w:spacing w:val="2"/>
        </w:rPr>
        <w:t>«</w:t>
      </w:r>
      <w:r w:rsidRPr="00BD3196">
        <w:rPr>
          <w:spacing w:val="2"/>
        </w:rPr>
        <w:t>Комплексное развитие сельских территорий Янтиковского района Чувашской Республики</w:t>
      </w:r>
      <w:r>
        <w:rPr>
          <w:spacing w:val="2"/>
        </w:rPr>
        <w:t>»</w:t>
      </w:r>
    </w:p>
    <w:p w:rsidR="006072A1" w:rsidRPr="000036B4" w:rsidRDefault="006072A1" w:rsidP="006072A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F6228" w:themeColor="accent3" w:themeShade="8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380"/>
        <w:gridCol w:w="1379"/>
        <w:gridCol w:w="1224"/>
        <w:gridCol w:w="1174"/>
        <w:gridCol w:w="904"/>
        <w:gridCol w:w="839"/>
        <w:gridCol w:w="1016"/>
        <w:gridCol w:w="1337"/>
        <w:gridCol w:w="682"/>
        <w:gridCol w:w="682"/>
        <w:gridCol w:w="682"/>
        <w:gridCol w:w="682"/>
        <w:gridCol w:w="682"/>
        <w:gridCol w:w="682"/>
      </w:tblGrid>
      <w:tr w:rsidR="006072A1" w:rsidRPr="00BD3196" w:rsidTr="00DE23CF">
        <w:trPr>
          <w:trHeight w:val="15"/>
        </w:trPr>
        <w:tc>
          <w:tcPr>
            <w:tcW w:w="1223" w:type="dxa"/>
            <w:hideMark/>
          </w:tcPr>
          <w:p w:rsidR="006072A1" w:rsidRPr="00BD3196" w:rsidRDefault="006072A1" w:rsidP="00DE23CF"/>
        </w:tc>
        <w:tc>
          <w:tcPr>
            <w:tcW w:w="1379" w:type="dxa"/>
            <w:hideMark/>
          </w:tcPr>
          <w:p w:rsidR="006072A1" w:rsidRPr="00BD3196" w:rsidRDefault="006072A1" w:rsidP="00DE23CF"/>
        </w:tc>
        <w:tc>
          <w:tcPr>
            <w:tcW w:w="1379" w:type="dxa"/>
            <w:hideMark/>
          </w:tcPr>
          <w:p w:rsidR="006072A1" w:rsidRPr="00BD3196" w:rsidRDefault="006072A1" w:rsidP="00DE23CF"/>
        </w:tc>
        <w:tc>
          <w:tcPr>
            <w:tcW w:w="1220" w:type="dxa"/>
            <w:hideMark/>
          </w:tcPr>
          <w:p w:rsidR="006072A1" w:rsidRPr="00BD3196" w:rsidRDefault="006072A1" w:rsidP="00DE23CF"/>
        </w:tc>
        <w:tc>
          <w:tcPr>
            <w:tcW w:w="1174" w:type="dxa"/>
            <w:hideMark/>
          </w:tcPr>
          <w:p w:rsidR="006072A1" w:rsidRPr="00BD3196" w:rsidRDefault="006072A1" w:rsidP="00DE23CF"/>
        </w:tc>
        <w:tc>
          <w:tcPr>
            <w:tcW w:w="904" w:type="dxa"/>
            <w:hideMark/>
          </w:tcPr>
          <w:p w:rsidR="006072A1" w:rsidRPr="00BD3196" w:rsidRDefault="006072A1" w:rsidP="00DE23CF"/>
        </w:tc>
        <w:tc>
          <w:tcPr>
            <w:tcW w:w="840" w:type="dxa"/>
            <w:hideMark/>
          </w:tcPr>
          <w:p w:rsidR="006072A1" w:rsidRPr="00BD3196" w:rsidRDefault="006072A1" w:rsidP="00DE23CF"/>
        </w:tc>
        <w:tc>
          <w:tcPr>
            <w:tcW w:w="1016" w:type="dxa"/>
            <w:hideMark/>
          </w:tcPr>
          <w:p w:rsidR="006072A1" w:rsidRPr="00BD3196" w:rsidRDefault="006072A1" w:rsidP="00DE23CF"/>
        </w:tc>
        <w:tc>
          <w:tcPr>
            <w:tcW w:w="1337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  <w:tc>
          <w:tcPr>
            <w:tcW w:w="683" w:type="dxa"/>
            <w:hideMark/>
          </w:tcPr>
          <w:p w:rsidR="006072A1" w:rsidRPr="00BD3196" w:rsidRDefault="006072A1" w:rsidP="00DE23CF"/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Статус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3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2025</w:t>
            </w:r>
          </w:p>
        </w:tc>
      </w:tr>
      <w:tr w:rsidR="006072A1" w:rsidRPr="00AF7352" w:rsidTr="00DE23CF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15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FE234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E7377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FE234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6072A1" w:rsidRPr="00AF7352" w:rsidTr="00DE23CF">
        <w:tc>
          <w:tcPr>
            <w:tcW w:w="145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Цель «Улучшение жилищных условий населения, проживающего на сельских территориях»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73778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Целевые показатели (индикаторы) подпрограммы, увязанные с основным </w:t>
            </w:r>
            <w:r w:rsidRPr="00AF7352">
              <w:rPr>
                <w:sz w:val="20"/>
                <w:szCs w:val="20"/>
              </w:rPr>
              <w:lastRenderedPageBreak/>
              <w:t>мероприятием 1</w:t>
            </w:r>
          </w:p>
        </w:tc>
        <w:tc>
          <w:tcPr>
            <w:tcW w:w="7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107,3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120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170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6038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F7352">
              <w:rPr>
                <w:sz w:val="20"/>
                <w:szCs w:val="20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агломерациях), ед.</w:t>
            </w:r>
            <w:proofErr w:type="gram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817F39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Объем ввода жилья, предоставленного гражданам по договорам найма жилого помещения, кв.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200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31D7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5242,9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32671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3320,2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31D7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2404,5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333F5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2300,9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31D7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24,3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333F5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31D7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34,7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E333F5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33,2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731D7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2779,4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32671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962,9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AF7352">
              <w:rPr>
                <w:sz w:val="20"/>
                <w:szCs w:val="20"/>
              </w:rPr>
              <w:t xml:space="preserve">Предоставление жилищных (ипотечных) кредитов </w:t>
            </w:r>
            <w:r w:rsidRPr="00AF7352">
              <w:rPr>
                <w:sz w:val="20"/>
                <w:szCs w:val="20"/>
              </w:rPr>
              <w:lastRenderedPageBreak/>
              <w:t>(займов) гражданам на строительство (приобретение) жилого помещения (жилого дома) на сельских территориях (в сельских агломерациях)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 xml:space="preserve">предоставление гражданам льготных ипотечных </w:t>
            </w:r>
            <w:r w:rsidRPr="00AF7352">
              <w:rPr>
                <w:sz w:val="20"/>
                <w:szCs w:val="20"/>
              </w:rPr>
              <w:lastRenderedPageBreak/>
              <w:t>кредитов (займов)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882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1003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520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республиканский </w:t>
            </w:r>
            <w:r w:rsidRPr="00AF7352">
              <w:rPr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2A1" w:rsidRPr="00AF7352" w:rsidTr="00DE23CF">
        <w:tc>
          <w:tcPr>
            <w:tcW w:w="1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2A1" w:rsidRPr="00AF7352" w:rsidRDefault="006072A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72A1" w:rsidRDefault="006072A1" w:rsidP="006072A1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  <w:sectPr w:rsidR="006072A1" w:rsidSect="00DE23C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E23CF" w:rsidRPr="003C28D9" w:rsidRDefault="00DE23CF" w:rsidP="00AB3B21">
      <w:pPr>
        <w:spacing w:after="0"/>
        <w:ind w:left="949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DE23CF" w:rsidRPr="003C28D9" w:rsidRDefault="00DE23CF" w:rsidP="00AB3B21">
      <w:pPr>
        <w:spacing w:after="0"/>
        <w:ind w:left="9498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DE23CF" w:rsidRPr="003C28D9" w:rsidRDefault="00DE23CF" w:rsidP="00AB3B21">
      <w:pPr>
        <w:spacing w:after="0"/>
        <w:ind w:left="9498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DE23CF" w:rsidRDefault="00DE23CF" w:rsidP="00AB3B21">
      <w:pPr>
        <w:spacing w:after="0"/>
        <w:ind w:left="9498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>от ___.___.2021</w:t>
      </w:r>
      <w:r w:rsidRPr="003C28D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</w:t>
      </w:r>
    </w:p>
    <w:p w:rsidR="00DE23CF" w:rsidRDefault="00DE23CF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  <w:sz w:val="22"/>
          <w:szCs w:val="22"/>
        </w:rPr>
      </w:pPr>
    </w:p>
    <w:p w:rsidR="003D4BE6" w:rsidRPr="00AB3B21" w:rsidRDefault="003D4BE6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</w:rPr>
      </w:pPr>
      <w:r w:rsidRPr="00AB3B21">
        <w:rPr>
          <w:color w:val="2D2D2D"/>
        </w:rPr>
        <w:t>Приложение № 1</w:t>
      </w:r>
    </w:p>
    <w:p w:rsidR="003D4BE6" w:rsidRPr="00AB3B21" w:rsidRDefault="003D4BE6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</w:rPr>
      </w:pPr>
      <w:r w:rsidRPr="00AB3B21">
        <w:rPr>
          <w:color w:val="2D2D2D"/>
        </w:rPr>
        <w:t>к подпрограмме «Создание и развитие</w:t>
      </w:r>
    </w:p>
    <w:p w:rsidR="003D4BE6" w:rsidRPr="00AB3B21" w:rsidRDefault="003D4BE6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</w:rPr>
      </w:pPr>
      <w:r w:rsidRPr="00AB3B21">
        <w:rPr>
          <w:color w:val="2D2D2D"/>
        </w:rPr>
        <w:t>инфраструктуры на сельских территориях»</w:t>
      </w:r>
    </w:p>
    <w:p w:rsidR="003D4BE6" w:rsidRDefault="003D4BE6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</w:rPr>
      </w:pPr>
      <w:r w:rsidRPr="00AB3B21">
        <w:rPr>
          <w:color w:val="2D2D2D"/>
        </w:rPr>
        <w:t>муниципальной  программы Янтиковского района Чувашской Республики</w:t>
      </w:r>
      <w:r w:rsidR="00AB3B21">
        <w:rPr>
          <w:color w:val="2D2D2D"/>
        </w:rPr>
        <w:t xml:space="preserve"> </w:t>
      </w:r>
      <w:r w:rsidRPr="00AB3B21">
        <w:rPr>
          <w:color w:val="2D2D2D"/>
        </w:rPr>
        <w:t>«Комплексное развитие сельских</w:t>
      </w:r>
      <w:r w:rsidR="00AB3B21">
        <w:rPr>
          <w:color w:val="2D2D2D"/>
        </w:rPr>
        <w:t xml:space="preserve"> </w:t>
      </w:r>
      <w:r w:rsidRPr="00AB3B21">
        <w:rPr>
          <w:color w:val="2D2D2D"/>
        </w:rPr>
        <w:t>территорий</w:t>
      </w:r>
      <w:r w:rsidR="00AB3B21">
        <w:rPr>
          <w:color w:val="2D2D2D"/>
        </w:rPr>
        <w:t xml:space="preserve"> </w:t>
      </w:r>
      <w:r w:rsidRPr="00AB3B21">
        <w:rPr>
          <w:color w:val="2D2D2D"/>
        </w:rPr>
        <w:t xml:space="preserve">Янтиковского района Чувашской Республики» </w:t>
      </w:r>
    </w:p>
    <w:p w:rsidR="007E1BEE" w:rsidRDefault="007E1BEE" w:rsidP="00AB3B21">
      <w:pPr>
        <w:pStyle w:val="formattext"/>
        <w:spacing w:before="0" w:beforeAutospacing="0" w:after="0" w:afterAutospacing="0"/>
        <w:ind w:left="9498"/>
        <w:textAlignment w:val="baseline"/>
        <w:rPr>
          <w:color w:val="2D2D2D"/>
        </w:rPr>
      </w:pPr>
    </w:p>
    <w:p w:rsidR="003D4BE6" w:rsidRPr="00023E47" w:rsidRDefault="007E1BEE" w:rsidP="007E1BEE">
      <w:pPr>
        <w:pStyle w:val="3"/>
        <w:spacing w:before="375" w:beforeAutospacing="0" w:after="225" w:afterAutospacing="0"/>
        <w:jc w:val="center"/>
        <w:textAlignment w:val="baseline"/>
        <w:rPr>
          <w:color w:val="2D2D2D"/>
          <w:sz w:val="21"/>
          <w:szCs w:val="21"/>
        </w:rPr>
      </w:pPr>
      <w:r>
        <w:rPr>
          <w:b w:val="0"/>
          <w:bCs w:val="0"/>
          <w:sz w:val="24"/>
          <w:szCs w:val="24"/>
        </w:rPr>
        <w:t>Ресурсное обеспечение реализации подпрограммы «</w:t>
      </w:r>
      <w:r w:rsidRPr="00BD3196">
        <w:rPr>
          <w:b w:val="0"/>
          <w:bCs w:val="0"/>
          <w:sz w:val="24"/>
          <w:szCs w:val="24"/>
        </w:rPr>
        <w:t>Создание и развитие инфраструктуры на сельских территориях</w:t>
      </w:r>
      <w:r>
        <w:rPr>
          <w:b w:val="0"/>
          <w:bCs w:val="0"/>
          <w:sz w:val="24"/>
          <w:szCs w:val="24"/>
        </w:rPr>
        <w:t>»</w:t>
      </w:r>
      <w:r w:rsidRPr="00BD3196">
        <w:rPr>
          <w:b w:val="0"/>
          <w:bCs w:val="0"/>
          <w:sz w:val="24"/>
          <w:szCs w:val="24"/>
        </w:rPr>
        <w:t xml:space="preserve"> муниципальной программы Янтиковского района Чувашской Республики </w:t>
      </w:r>
      <w:r>
        <w:rPr>
          <w:b w:val="0"/>
          <w:bCs w:val="0"/>
          <w:sz w:val="24"/>
          <w:szCs w:val="24"/>
        </w:rPr>
        <w:t>«</w:t>
      </w:r>
      <w:r w:rsidRPr="00BD3196">
        <w:rPr>
          <w:b w:val="0"/>
          <w:bCs w:val="0"/>
          <w:sz w:val="24"/>
          <w:szCs w:val="24"/>
        </w:rPr>
        <w:t>Комплексное развитие сельских территорий Янтиковского района Чувашской Республики</w:t>
      </w:r>
      <w:r>
        <w:rPr>
          <w:b w:val="0"/>
          <w:bCs w:val="0"/>
          <w:sz w:val="24"/>
          <w:szCs w:val="24"/>
        </w:rPr>
        <w:t>»</w:t>
      </w:r>
    </w:p>
    <w:tbl>
      <w:tblPr>
        <w:tblW w:w="15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31"/>
        <w:gridCol w:w="1236"/>
        <w:gridCol w:w="607"/>
        <w:gridCol w:w="21"/>
        <w:gridCol w:w="656"/>
        <w:gridCol w:w="598"/>
        <w:gridCol w:w="23"/>
        <w:gridCol w:w="597"/>
        <w:gridCol w:w="613"/>
        <w:gridCol w:w="43"/>
        <w:gridCol w:w="519"/>
        <w:gridCol w:w="285"/>
        <w:gridCol w:w="47"/>
        <w:gridCol w:w="520"/>
        <w:gridCol w:w="47"/>
        <w:gridCol w:w="175"/>
        <w:gridCol w:w="451"/>
        <w:gridCol w:w="82"/>
        <w:gridCol w:w="356"/>
        <w:gridCol w:w="353"/>
        <w:gridCol w:w="562"/>
        <w:gridCol w:w="751"/>
        <w:gridCol w:w="105"/>
        <w:gridCol w:w="283"/>
        <w:gridCol w:w="567"/>
        <w:gridCol w:w="284"/>
        <w:gridCol w:w="283"/>
        <w:gridCol w:w="802"/>
        <w:gridCol w:w="283"/>
        <w:gridCol w:w="340"/>
        <w:gridCol w:w="326"/>
        <w:gridCol w:w="43"/>
        <w:gridCol w:w="296"/>
        <w:gridCol w:w="326"/>
        <w:gridCol w:w="87"/>
        <w:gridCol w:w="252"/>
        <w:gridCol w:w="518"/>
        <w:gridCol w:w="6"/>
        <w:gridCol w:w="753"/>
        <w:gridCol w:w="23"/>
      </w:tblGrid>
      <w:tr w:rsidR="003D4BE6" w:rsidRPr="00A568D2" w:rsidTr="00206004">
        <w:trPr>
          <w:gridAfter w:val="1"/>
          <w:wAfter w:w="23" w:type="dxa"/>
          <w:trHeight w:val="15"/>
        </w:trPr>
        <w:tc>
          <w:tcPr>
            <w:tcW w:w="1087" w:type="dxa"/>
            <w:hideMark/>
          </w:tcPr>
          <w:p w:rsidR="003D4BE6" w:rsidRPr="00A568D2" w:rsidRDefault="003D4BE6" w:rsidP="00DE23CF"/>
        </w:tc>
        <w:tc>
          <w:tcPr>
            <w:tcW w:w="1567" w:type="dxa"/>
            <w:gridSpan w:val="2"/>
            <w:hideMark/>
          </w:tcPr>
          <w:p w:rsidR="003D4BE6" w:rsidRPr="00A568D2" w:rsidRDefault="003D4BE6" w:rsidP="00DE23CF"/>
        </w:tc>
        <w:tc>
          <w:tcPr>
            <w:tcW w:w="1284" w:type="dxa"/>
            <w:gridSpan w:val="3"/>
            <w:hideMark/>
          </w:tcPr>
          <w:p w:rsidR="003D4BE6" w:rsidRPr="00A568D2" w:rsidRDefault="003D4BE6" w:rsidP="00DE23CF"/>
        </w:tc>
        <w:tc>
          <w:tcPr>
            <w:tcW w:w="1218" w:type="dxa"/>
            <w:gridSpan w:val="3"/>
            <w:hideMark/>
          </w:tcPr>
          <w:p w:rsidR="003D4BE6" w:rsidRPr="00A568D2" w:rsidRDefault="003D4BE6" w:rsidP="00DE23CF"/>
        </w:tc>
        <w:tc>
          <w:tcPr>
            <w:tcW w:w="1175" w:type="dxa"/>
            <w:gridSpan w:val="3"/>
            <w:hideMark/>
          </w:tcPr>
          <w:p w:rsidR="003D4BE6" w:rsidRPr="00A568D2" w:rsidRDefault="003D4BE6" w:rsidP="00DE23CF"/>
        </w:tc>
        <w:tc>
          <w:tcPr>
            <w:tcW w:w="1074" w:type="dxa"/>
            <w:gridSpan w:val="5"/>
            <w:hideMark/>
          </w:tcPr>
          <w:p w:rsidR="003D4BE6" w:rsidRPr="00A568D2" w:rsidRDefault="003D4BE6" w:rsidP="00DE23CF"/>
        </w:tc>
        <w:tc>
          <w:tcPr>
            <w:tcW w:w="889" w:type="dxa"/>
            <w:gridSpan w:val="3"/>
            <w:hideMark/>
          </w:tcPr>
          <w:p w:rsidR="003D4BE6" w:rsidRPr="00A568D2" w:rsidRDefault="003D4BE6" w:rsidP="00DE23CF"/>
        </w:tc>
        <w:tc>
          <w:tcPr>
            <w:tcW w:w="915" w:type="dxa"/>
            <w:gridSpan w:val="2"/>
            <w:hideMark/>
          </w:tcPr>
          <w:p w:rsidR="003D4BE6" w:rsidRPr="00A568D2" w:rsidRDefault="003D4BE6" w:rsidP="00DE23CF"/>
        </w:tc>
        <w:tc>
          <w:tcPr>
            <w:tcW w:w="1139" w:type="dxa"/>
            <w:gridSpan w:val="3"/>
            <w:hideMark/>
          </w:tcPr>
          <w:p w:rsidR="003D4BE6" w:rsidRPr="00A568D2" w:rsidRDefault="003D4BE6" w:rsidP="00DE23CF"/>
        </w:tc>
        <w:tc>
          <w:tcPr>
            <w:tcW w:w="1134" w:type="dxa"/>
            <w:gridSpan w:val="3"/>
            <w:hideMark/>
          </w:tcPr>
          <w:p w:rsidR="003D4BE6" w:rsidRPr="00A568D2" w:rsidRDefault="003D4BE6" w:rsidP="00DE23CF"/>
        </w:tc>
        <w:tc>
          <w:tcPr>
            <w:tcW w:w="1085" w:type="dxa"/>
            <w:gridSpan w:val="2"/>
            <w:hideMark/>
          </w:tcPr>
          <w:p w:rsidR="003D4BE6" w:rsidRPr="00A568D2" w:rsidRDefault="003D4BE6" w:rsidP="00DE23CF"/>
        </w:tc>
        <w:tc>
          <w:tcPr>
            <w:tcW w:w="666" w:type="dxa"/>
            <w:gridSpan w:val="2"/>
            <w:hideMark/>
          </w:tcPr>
          <w:p w:rsidR="003D4BE6" w:rsidRPr="00A568D2" w:rsidRDefault="003D4BE6" w:rsidP="00DE23CF"/>
        </w:tc>
        <w:tc>
          <w:tcPr>
            <w:tcW w:w="665" w:type="dxa"/>
            <w:gridSpan w:val="3"/>
            <w:hideMark/>
          </w:tcPr>
          <w:p w:rsidR="003D4BE6" w:rsidRPr="00A568D2" w:rsidRDefault="003D4BE6" w:rsidP="00DE23CF"/>
        </w:tc>
        <w:tc>
          <w:tcPr>
            <w:tcW w:w="857" w:type="dxa"/>
            <w:gridSpan w:val="3"/>
            <w:hideMark/>
          </w:tcPr>
          <w:p w:rsidR="003D4BE6" w:rsidRPr="00A568D2" w:rsidRDefault="003D4BE6" w:rsidP="00DE23CF"/>
        </w:tc>
        <w:tc>
          <w:tcPr>
            <w:tcW w:w="759" w:type="dxa"/>
            <w:gridSpan w:val="2"/>
            <w:hideMark/>
          </w:tcPr>
          <w:p w:rsidR="003D4BE6" w:rsidRPr="00A568D2" w:rsidRDefault="003D4BE6" w:rsidP="00DE23CF"/>
        </w:tc>
      </w:tr>
      <w:tr w:rsidR="003D4BE6" w:rsidRPr="00AF7352" w:rsidTr="00206004"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Статус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Наименование подпрограммы муниципальной  программы Янтиковского района  Чувашской Республики (основного мероприятия, мероприятия)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Задача подпрограммы муниципальной  программы Янтиковского района  Чувашской Республики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 </w:t>
            </w:r>
          </w:p>
        </w:tc>
        <w:tc>
          <w:tcPr>
            <w:tcW w:w="40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Расходы по годам, тыс. рублей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раздел, подраздел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39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2023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2024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2025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15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Подпрограмма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«Создание и развитие инфраструктуры на сельских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территориях»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Отдел строительства, дорожного и ЖКХ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администрации Янтиковского района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40656,3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42389,4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831, 832,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855, 857, 867, 882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410,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республи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32831,4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33684,4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5041,7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rPr>
          <w:gridAfter w:val="1"/>
          <w:wAfter w:w="23" w:type="dxa"/>
        </w:trPr>
        <w:tc>
          <w:tcPr>
            <w:tcW w:w="10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4877FF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3382,1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5537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Основное мероприятие 1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34926,2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39733,6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832, 882</w:t>
            </w: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27101,3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31431,6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5021,4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3280,6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Целевые показатели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(индикаторы) подпрограммы, увязанные с основным мероприятием 1</w:t>
            </w: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lastRenderedPageBreak/>
              <w:t xml:space="preserve">Ввод в действие распределительных газовых сетей,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Ввод в действие локальных водопроводов,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Количество реализованных проектов </w:t>
            </w:r>
            <w:proofErr w:type="gramStart"/>
            <w:r w:rsidRPr="00AF7352">
              <w:rPr>
                <w:sz w:val="20"/>
                <w:szCs w:val="20"/>
              </w:rPr>
              <w:t>комплексного</w:t>
            </w:r>
            <w:proofErr w:type="gramEnd"/>
            <w:r w:rsidRPr="00AF7352">
              <w:rPr>
                <w:sz w:val="20"/>
                <w:szCs w:val="20"/>
              </w:rPr>
              <w:t xml:space="preserve"> развития сельских территорий или сельских агломераций,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</w:t>
            </w:r>
            <w:proofErr w:type="gramStart"/>
            <w:r w:rsidRPr="00AF735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3,3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41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F7352">
              <w:rPr>
                <w:sz w:val="20"/>
                <w:szCs w:val="20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Развитие водоснабжения в сельской местности в рамках обеспечения комплексного развития сельских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дорожного и  ЖКХ админ.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дорожного и ЖКХ админ. Янтиковского района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0412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Реализация проектов </w:t>
            </w:r>
            <w:proofErr w:type="gramStart"/>
            <w:r w:rsidRPr="00AF7352">
              <w:rPr>
                <w:color w:val="2D2D2D"/>
                <w:sz w:val="20"/>
                <w:szCs w:val="20"/>
              </w:rPr>
              <w:t>комплексного</w:t>
            </w:r>
            <w:proofErr w:type="gramEnd"/>
            <w:r w:rsidRPr="00AF7352">
              <w:rPr>
                <w:color w:val="2D2D2D"/>
                <w:sz w:val="20"/>
                <w:szCs w:val="20"/>
              </w:rPr>
              <w:t xml:space="preserve"> развития сельских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территорий или сельских агломераций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тва, дорожного 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республиканский бюджет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AF7352">
              <w:rPr>
                <w:color w:val="2D2D2D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значимым объектам сельских населенных пунктов, а также к объектам производства и</w:t>
            </w:r>
            <w:proofErr w:type="gramEnd"/>
            <w:r w:rsidRPr="00AF7352">
              <w:rPr>
                <w:color w:val="2D2D2D"/>
                <w:sz w:val="20"/>
                <w:szCs w:val="20"/>
              </w:rPr>
              <w:t xml:space="preserve">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ind w:right="-7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Мероприятие 1.7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Реализация проектов развития общественной инфраструктуры, основанных на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местных инициативах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ответственный исполнитель – отдел строительства,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дорожного и ЖКХ админ.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34926,2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39733,6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206004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004" w:rsidRPr="00AF73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0409, 14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республиканский бюджет Чувашской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27101,3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31431,6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3939,2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5021,4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3885,8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863E0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3280,6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  <w:r w:rsidR="00206004" w:rsidRPr="00AF7352">
              <w:rPr>
                <w:color w:val="2D2D2D"/>
                <w:sz w:val="20"/>
                <w:szCs w:val="20"/>
              </w:rPr>
              <w:t>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Мероприятие 1.9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5537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Цель «Активизация участия граждан, проживающих на сельских территориях, в решении вопросов местного значения»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Основное мероприятие 2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 дорожного и ЖКХ администрации Янтиковского района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F34A3B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3C51">
              <w:rPr>
                <w:rFonts w:ascii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AB3C5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281,2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0409, 0503, 1403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AB3C5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2,8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980502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20,3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AB3C51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101,5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 xml:space="preserve">Целевой показатель (индикатор) подпрограммы, </w:t>
            </w:r>
            <w:r w:rsidRPr="00AF7352">
              <w:rPr>
                <w:color w:val="2D2D2D"/>
                <w:sz w:val="20"/>
                <w:szCs w:val="20"/>
              </w:rPr>
              <w:lastRenderedPageBreak/>
              <w:t>увязанный с основным мероприятием 2</w:t>
            </w:r>
          </w:p>
        </w:tc>
        <w:tc>
          <w:tcPr>
            <w:tcW w:w="72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lastRenderedPageBreak/>
              <w:t>Количество реализованных общественно значимых проектов по благоустройству сельских территорий, ед.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0000B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31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1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AB3C51" w:rsidP="00AB3C5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6F2A4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Благоустройство</w:t>
            </w:r>
            <w:r w:rsidR="006F2A4B">
              <w:rPr>
                <w:color w:val="2D2D2D"/>
                <w:sz w:val="20"/>
                <w:szCs w:val="20"/>
              </w:rPr>
              <w:t xml:space="preserve"> и развитие </w:t>
            </w:r>
            <w:r w:rsidRPr="00AF7352">
              <w:rPr>
                <w:color w:val="2D2D2D"/>
                <w:sz w:val="20"/>
                <w:szCs w:val="20"/>
              </w:rPr>
              <w:t xml:space="preserve"> территорий</w:t>
            </w:r>
            <w:r w:rsidR="006F2A4B">
              <w:rPr>
                <w:color w:val="2D2D2D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ответственный исполнитель – отдел строительства, дорожного и ЖКХ администрации Янтиковского района</w:t>
            </w: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1D02B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6F2A4B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федеральный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882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0503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0000B1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5730,1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6F2A4B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2250,0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местный бюджет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  <w:tr w:rsidR="003D4BE6" w:rsidRPr="00AF7352" w:rsidTr="00206004"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4BE6" w:rsidRPr="00AF7352" w:rsidRDefault="003D4BE6" w:rsidP="00DE23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F7352">
              <w:rPr>
                <w:color w:val="2D2D2D"/>
                <w:sz w:val="20"/>
                <w:szCs w:val="20"/>
              </w:rPr>
              <w:t>0,0</w:t>
            </w:r>
          </w:p>
        </w:tc>
      </w:tr>
    </w:tbl>
    <w:p w:rsidR="003D4BE6" w:rsidRPr="00AF7352" w:rsidRDefault="003D4BE6" w:rsidP="003D4B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3D4BE6" w:rsidRPr="00AF7352" w:rsidRDefault="003D4BE6" w:rsidP="003D4B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3D4BE6" w:rsidRPr="00AF7352" w:rsidRDefault="003D4BE6" w:rsidP="003D4B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6072A1" w:rsidRPr="00AF7352" w:rsidRDefault="006072A1" w:rsidP="00DE23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sectPr w:rsidR="006072A1" w:rsidRPr="00AF7352" w:rsidSect="00DE2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AD" w:rsidRDefault="002C34AD" w:rsidP="002B3CE4">
      <w:pPr>
        <w:spacing w:after="0" w:line="240" w:lineRule="auto"/>
      </w:pPr>
      <w:r>
        <w:separator/>
      </w:r>
    </w:p>
  </w:endnote>
  <w:endnote w:type="continuationSeparator" w:id="0">
    <w:p w:rsidR="002C34AD" w:rsidRDefault="002C34AD" w:rsidP="002B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AD" w:rsidRDefault="002C34AD" w:rsidP="002B3CE4">
      <w:pPr>
        <w:spacing w:after="0" w:line="240" w:lineRule="auto"/>
      </w:pPr>
      <w:r>
        <w:separator/>
      </w:r>
    </w:p>
  </w:footnote>
  <w:footnote w:type="continuationSeparator" w:id="0">
    <w:p w:rsidR="002C34AD" w:rsidRDefault="002C34AD" w:rsidP="002B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1"/>
    <w:rsid w:val="000000B1"/>
    <w:rsid w:val="000037C3"/>
    <w:rsid w:val="000403AA"/>
    <w:rsid w:val="00062D5B"/>
    <w:rsid w:val="001A4F08"/>
    <w:rsid w:val="001D02B6"/>
    <w:rsid w:val="001F6111"/>
    <w:rsid w:val="00201FE0"/>
    <w:rsid w:val="00206004"/>
    <w:rsid w:val="00217AFB"/>
    <w:rsid w:val="00244CBC"/>
    <w:rsid w:val="0026527A"/>
    <w:rsid w:val="00273E14"/>
    <w:rsid w:val="002B3CE4"/>
    <w:rsid w:val="002C34AD"/>
    <w:rsid w:val="002D1F3E"/>
    <w:rsid w:val="0031116C"/>
    <w:rsid w:val="00326714"/>
    <w:rsid w:val="003762EB"/>
    <w:rsid w:val="003A3B5F"/>
    <w:rsid w:val="003D1F82"/>
    <w:rsid w:val="003D4BE6"/>
    <w:rsid w:val="00423743"/>
    <w:rsid w:val="00447CCF"/>
    <w:rsid w:val="004877FF"/>
    <w:rsid w:val="004C16C3"/>
    <w:rsid w:val="004C5E0F"/>
    <w:rsid w:val="005023E8"/>
    <w:rsid w:val="005D413B"/>
    <w:rsid w:val="006072A1"/>
    <w:rsid w:val="006774CD"/>
    <w:rsid w:val="006A2FA9"/>
    <w:rsid w:val="006D62A9"/>
    <w:rsid w:val="006E3C28"/>
    <w:rsid w:val="006F2A4B"/>
    <w:rsid w:val="00731D7B"/>
    <w:rsid w:val="00754518"/>
    <w:rsid w:val="00760381"/>
    <w:rsid w:val="00794DA4"/>
    <w:rsid w:val="007B4F61"/>
    <w:rsid w:val="007E1BEE"/>
    <w:rsid w:val="00817F39"/>
    <w:rsid w:val="008466D0"/>
    <w:rsid w:val="00863E06"/>
    <w:rsid w:val="00895BE0"/>
    <w:rsid w:val="0092455F"/>
    <w:rsid w:val="00942DAD"/>
    <w:rsid w:val="009622E8"/>
    <w:rsid w:val="00980502"/>
    <w:rsid w:val="009B2507"/>
    <w:rsid w:val="009E726C"/>
    <w:rsid w:val="009F2E79"/>
    <w:rsid w:val="009F4F06"/>
    <w:rsid w:val="00A139A0"/>
    <w:rsid w:val="00A276D3"/>
    <w:rsid w:val="00A55DE3"/>
    <w:rsid w:val="00A667BA"/>
    <w:rsid w:val="00A86159"/>
    <w:rsid w:val="00AA4AFA"/>
    <w:rsid w:val="00AB3B21"/>
    <w:rsid w:val="00AB3C51"/>
    <w:rsid w:val="00AB4E93"/>
    <w:rsid w:val="00AC7FAE"/>
    <w:rsid w:val="00AF7352"/>
    <w:rsid w:val="00B141FD"/>
    <w:rsid w:val="00B17023"/>
    <w:rsid w:val="00BD6FA7"/>
    <w:rsid w:val="00C02DDB"/>
    <w:rsid w:val="00C55A48"/>
    <w:rsid w:val="00D42BD8"/>
    <w:rsid w:val="00D94A9F"/>
    <w:rsid w:val="00DA752E"/>
    <w:rsid w:val="00DC5AA7"/>
    <w:rsid w:val="00DD5F91"/>
    <w:rsid w:val="00DE23CF"/>
    <w:rsid w:val="00E115C7"/>
    <w:rsid w:val="00E333F5"/>
    <w:rsid w:val="00E73778"/>
    <w:rsid w:val="00EA188B"/>
    <w:rsid w:val="00F079D1"/>
    <w:rsid w:val="00F1016B"/>
    <w:rsid w:val="00F34A3B"/>
    <w:rsid w:val="00F57156"/>
    <w:rsid w:val="00F92B9B"/>
    <w:rsid w:val="00F96032"/>
    <w:rsid w:val="00FD64C4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7"/>
  </w:style>
  <w:style w:type="paragraph" w:styleId="1">
    <w:name w:val="heading 1"/>
    <w:basedOn w:val="a"/>
    <w:next w:val="a"/>
    <w:link w:val="10"/>
    <w:uiPriority w:val="9"/>
    <w:qFormat/>
    <w:rsid w:val="002B3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CE4"/>
  </w:style>
  <w:style w:type="paragraph" w:styleId="a5">
    <w:name w:val="footer"/>
    <w:basedOn w:val="a"/>
    <w:link w:val="a6"/>
    <w:uiPriority w:val="99"/>
    <w:unhideWhenUsed/>
    <w:rsid w:val="002B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CE4"/>
  </w:style>
  <w:style w:type="character" w:customStyle="1" w:styleId="10">
    <w:name w:val="Заголовок 1 Знак"/>
    <w:basedOn w:val="a0"/>
    <w:link w:val="1"/>
    <w:uiPriority w:val="9"/>
    <w:rsid w:val="002B3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7"/>
  </w:style>
  <w:style w:type="paragraph" w:styleId="1">
    <w:name w:val="heading 1"/>
    <w:basedOn w:val="a"/>
    <w:next w:val="a"/>
    <w:link w:val="10"/>
    <w:uiPriority w:val="9"/>
    <w:qFormat/>
    <w:rsid w:val="002B3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CE4"/>
  </w:style>
  <w:style w:type="paragraph" w:styleId="a5">
    <w:name w:val="footer"/>
    <w:basedOn w:val="a"/>
    <w:link w:val="a6"/>
    <w:uiPriority w:val="99"/>
    <w:unhideWhenUsed/>
    <w:rsid w:val="002B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CE4"/>
  </w:style>
  <w:style w:type="character" w:customStyle="1" w:styleId="10">
    <w:name w:val="Заголовок 1 Знак"/>
    <w:basedOn w:val="a0"/>
    <w:link w:val="1"/>
    <w:uiPriority w:val="9"/>
    <w:rsid w:val="002B3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yantik_aris2</dc:creator>
  <cp:lastModifiedBy>Орг. отдел администрации Янтиковского района</cp:lastModifiedBy>
  <cp:revision>3</cp:revision>
  <cp:lastPrinted>2021-12-13T10:20:00Z</cp:lastPrinted>
  <dcterms:created xsi:type="dcterms:W3CDTF">2021-12-17T13:11:00Z</dcterms:created>
  <dcterms:modified xsi:type="dcterms:W3CDTF">2021-12-29T10:48:00Z</dcterms:modified>
</cp:coreProperties>
</file>