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7646" w14:textId="77777777" w:rsidR="00FC3AF2" w:rsidRPr="00FC3AF2" w:rsidRDefault="00FC3AF2" w:rsidP="00DA3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AF2">
        <w:rPr>
          <w:rStyle w:val="a4"/>
          <w:rFonts w:ascii="Times New Roman" w:hAnsi="Times New Roman" w:cs="Times New Roman"/>
          <w:color w:val="000000"/>
          <w:sz w:val="24"/>
          <w:szCs w:val="24"/>
        </w:rPr>
        <w:t>АНАЛИТИЧЕСКАЯ ЗАПИСКА</w:t>
      </w:r>
    </w:p>
    <w:p w14:paraId="7189FB59" w14:textId="77777777" w:rsidR="00FC3AF2" w:rsidRPr="00FC3AF2" w:rsidRDefault="00FC3AF2" w:rsidP="00DA3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AF2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проведения ежегодной оценки всех видов преференций</w:t>
      </w:r>
    </w:p>
    <w:p w14:paraId="218993A5" w14:textId="7812FA7C" w:rsidR="00FC3AF2" w:rsidRPr="00FC3AF2" w:rsidRDefault="00FC3AF2" w:rsidP="00DA3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AF2">
        <w:rPr>
          <w:rStyle w:val="a4"/>
          <w:rFonts w:ascii="Times New Roman" w:hAnsi="Times New Roman" w:cs="Times New Roman"/>
          <w:color w:val="000000"/>
          <w:sz w:val="24"/>
          <w:szCs w:val="24"/>
        </w:rPr>
        <w:t>юридическим лицам (льготы, субвенции, компенсация процентных ставок по кредитам, гарантий)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cv-Cyrl"/>
        </w:rPr>
        <w:t xml:space="preserve"> </w:t>
      </w:r>
      <w:r w:rsidRPr="00FC3AF2">
        <w:rPr>
          <w:rStyle w:val="a4"/>
          <w:rFonts w:ascii="Times New Roman" w:hAnsi="Times New Roman" w:cs="Times New Roman"/>
          <w:color w:val="000000"/>
          <w:sz w:val="24"/>
          <w:szCs w:val="24"/>
        </w:rPr>
        <w:t>и финансового результата для местного бюджета.</w:t>
      </w:r>
    </w:p>
    <w:p w14:paraId="35F1E115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B54A8B0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9D83B69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      Основными целями предоставления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  являются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>:</w:t>
      </w:r>
    </w:p>
    <w:p w14:paraId="176BEBF6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обеспечение экономической заинтересованности организаций и физических лиц в расширении приоритетных видов хозяйственной деятельности;</w:t>
      </w:r>
    </w:p>
    <w:p w14:paraId="2247F46A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стимулирование использования финансовых ресурсов, направляемых на создание, расширение и обновление производств и технологий по выпуску необходимой району продукции (товаров, услуг);</w:t>
      </w:r>
    </w:p>
    <w:p w14:paraId="3D785B41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создание благоприятных экономических условий для деятельности организаций, применяющих труд социально незащищенных категорий граждан;</w:t>
      </w:r>
    </w:p>
    <w:p w14:paraId="4D5190CC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создание необходимых экономических условий для развития инвестиционной деятельности в районе;</w:t>
      </w:r>
    </w:p>
    <w:p w14:paraId="4D2CC730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оказание экономической поддержки организациям в решении приоритетных социальных задач;</w:t>
      </w:r>
    </w:p>
    <w:p w14:paraId="49E2578D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развитие налогооблагаемой базы в районе;</w:t>
      </w:r>
    </w:p>
    <w:p w14:paraId="0B459145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прирост платежей в бюджет района;</w:t>
      </w:r>
    </w:p>
    <w:p w14:paraId="06E2BDC4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оказание поддержки социально незащищенным категориям граждан.</w:t>
      </w:r>
    </w:p>
    <w:p w14:paraId="4396B66F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    Установление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осуществляется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с соблюдением следующих основных принципов:</w:t>
      </w:r>
    </w:p>
    <w:p w14:paraId="07E19CF0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- налоговые льготы и льготы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устанавливаются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на срок не менее одного налогового периода по соответствующему платежу;</w:t>
      </w:r>
    </w:p>
    <w:p w14:paraId="754E6A24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- налоговые льготы и льготы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устанавливаются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только категориям налогоплательщиков и не носят индивидуального характера;</w:t>
      </w:r>
    </w:p>
    <w:p w14:paraId="5C4AE7CE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- не допускать установления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в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зависимости от формы собственности, гражданства физических лиц или места происхождения капитала.</w:t>
      </w:r>
    </w:p>
    <w:p w14:paraId="40ABA613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   Оценка предоставления (пролонгации)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осуществляется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в отношении:</w:t>
      </w:r>
    </w:p>
    <w:p w14:paraId="140EF162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-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организациям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>, финансируемым не из местного бюджета, в зависимости от целей предоставления – на наличие бюджетной и экономической эффективности или экономической и социальной эффективности;</w:t>
      </w:r>
    </w:p>
    <w:p w14:paraId="1C4F0536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  Оценка эффективности предоставляемых (планируемых к предоставлению)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осуществляется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14:paraId="1E879C78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  1) бюджетная эффективность.</w:t>
      </w:r>
    </w:p>
    <w:p w14:paraId="538A75BE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  Налоговая льгота и льготы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имеют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бюджетную эффективность, если сумма дисконтированного прироста полученных  (планируемых к получению) поступлений в бюджет района, в результате предоставления налоговых льгот и льгот по неналоговым доходам, превышает или равна сумме предоставляемых (планируемых к предоставлению) налоговых льгот и льгот по неналоговым доходам. Коэффициент дисконтирования применяется в размере индекса потребительских цен;</w:t>
      </w:r>
    </w:p>
    <w:p w14:paraId="01D3E52D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  2) экономическая эффективность.</w:t>
      </w:r>
    </w:p>
    <w:p w14:paraId="390B9915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 Оценка экономической эффективности предоставляемых (планируемых к предоставлению)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осуществляется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на основании динамики финансово-экономических показателей деятельности категории налогоплательщиков согласно перечню, утвержденному в порядке и методике оценки эффективности предоставляемых (планируемых к предоставлению) налоговых льгот и льгот по неналоговым доходам.</w:t>
      </w:r>
    </w:p>
    <w:p w14:paraId="0CFC9B24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   Налоговые льготы и льготы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имеют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экономическую эффективность, если 70 процентов финансово-экономических показателей деятельности категории плательщиков согласно перечню, утвержденному в порядке и методике оценки эффективности предоставляемых (планируемых к предоставлению) налоговых льгот и льгот по неналоговым доходам, имеют положительную динамику.</w:t>
      </w:r>
    </w:p>
    <w:p w14:paraId="51D87CC2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   Динамика является положительной, если:</w:t>
      </w:r>
    </w:p>
    <w:p w14:paraId="7936FFA8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   темп роста финансово-экономических показателей деятельности категории налогоплательщиков в результате предоставления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больше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темпа роста финансово-экономических показателей деятельности категории плательщиков без применения  льгот;</w:t>
      </w:r>
    </w:p>
    <w:p w14:paraId="4DFAC06C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   темп падения финансово-экономических показателей деятельности категории плательщиков в результате предоставления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меньше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темпа падения финансово-экономических показателей деятельности категории плательщиков без применения налоговой льготы и льгот по неналоговым доходам;</w:t>
      </w:r>
    </w:p>
    <w:p w14:paraId="27B4DAC2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    3) социальная эффективность.</w:t>
      </w:r>
    </w:p>
    <w:p w14:paraId="6039110D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       Налоговые льготы и льготы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организациям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признаются социально эффективными при увеличении числа рабочих мест, созданных для социально незащищенных категорий граждан.</w:t>
      </w:r>
    </w:p>
    <w:p w14:paraId="085011FE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Эффективность предоставления (пролонгации)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рассчитывается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по каждому налогу и неналоговым доходам в разрезе подразделов кодов основного вида экономической деятельности налогоплательщика, согласно Общероссийскому классификатору видов экономической деятельности.</w:t>
      </w:r>
    </w:p>
    <w:p w14:paraId="02CEF0D4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 При наличии сведений о суммах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по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категориям налогоплательщиков эффективность налоговых льгот и льгот по неналоговым доходам  рассчитывается по каждой категории плательщиков.</w:t>
      </w:r>
    </w:p>
    <w:p w14:paraId="57F9A74B" w14:textId="28D27D81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    В 20</w:t>
      </w:r>
      <w:r>
        <w:rPr>
          <w:rFonts w:ascii="Times New Roman" w:hAnsi="Times New Roman" w:cs="Times New Roman"/>
          <w:sz w:val="24"/>
          <w:szCs w:val="24"/>
          <w:lang w:val="cv-Cyrl"/>
        </w:rPr>
        <w:t>20</w:t>
      </w:r>
      <w:r w:rsidRPr="00FC3AF2">
        <w:rPr>
          <w:rFonts w:ascii="Times New Roman" w:hAnsi="Times New Roman" w:cs="Times New Roman"/>
          <w:sz w:val="24"/>
          <w:szCs w:val="24"/>
        </w:rPr>
        <w:t xml:space="preserve"> году льготы, субсидии, преференции юридическим лицам не предоставлялись.</w:t>
      </w:r>
    </w:p>
    <w:p w14:paraId="1BC85B0A" w14:textId="77777777" w:rsidR="00174807" w:rsidRPr="00FC3AF2" w:rsidRDefault="00174807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807" w:rsidRPr="00FC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F2"/>
    <w:rsid w:val="00174807"/>
    <w:rsid w:val="00DA3BE8"/>
    <w:rsid w:val="00F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D9A2"/>
  <w15:chartTrackingRefBased/>
  <w15:docId w15:val="{BE8161CC-F03D-4506-BAF8-81810554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Хлебникова</dc:creator>
  <cp:keywords/>
  <dc:description/>
  <cp:lastModifiedBy>Наталия Хлебникова</cp:lastModifiedBy>
  <cp:revision>2</cp:revision>
  <dcterms:created xsi:type="dcterms:W3CDTF">2021-05-19T12:11:00Z</dcterms:created>
  <dcterms:modified xsi:type="dcterms:W3CDTF">2021-05-19T12:33:00Z</dcterms:modified>
</cp:coreProperties>
</file>