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5D" w:rsidRPr="00DB786A" w:rsidRDefault="00D2235D" w:rsidP="00D2235D">
      <w:pPr>
        <w:spacing w:after="200"/>
        <w:jc w:val="right"/>
        <w:rPr>
          <w:rFonts w:eastAsiaTheme="minorHAnsi"/>
          <w:sz w:val="24"/>
          <w:szCs w:val="24"/>
          <w:lang w:eastAsia="en-US"/>
        </w:rPr>
      </w:pPr>
      <w:r w:rsidRPr="00DB786A">
        <w:rPr>
          <w:rFonts w:eastAsiaTheme="minorHAnsi"/>
          <w:sz w:val="24"/>
          <w:szCs w:val="24"/>
          <w:lang w:eastAsia="en-US"/>
        </w:rPr>
        <w:t>Приложение № 1</w:t>
      </w: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95"/>
        <w:gridCol w:w="1103"/>
        <w:gridCol w:w="1165"/>
        <w:gridCol w:w="851"/>
      </w:tblGrid>
      <w:tr w:rsidR="00D2235D" w:rsidRPr="00DB786A" w:rsidTr="006801E0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DB786A">
              <w:rPr>
                <w:b/>
                <w:bCs/>
                <w:color w:val="000000"/>
                <w:spacing w:val="-10"/>
                <w:sz w:val="24"/>
                <w:szCs w:val="24"/>
              </w:rPr>
              <w:t>1. Результаты мониторинга деятельности участников государственной и негосударственной систем бесплатной</w:t>
            </w:r>
          </w:p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DB786A">
              <w:rPr>
                <w:b/>
                <w:bCs/>
                <w:color w:val="000000"/>
                <w:spacing w:val="-10"/>
                <w:sz w:val="24"/>
                <w:szCs w:val="24"/>
              </w:rPr>
              <w:t>юридической</w:t>
            </w:r>
            <w:proofErr w:type="gramEnd"/>
            <w:r w:rsidRPr="00DB786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помощи*</w:t>
            </w:r>
          </w:p>
        </w:tc>
      </w:tr>
      <w:tr w:rsidR="00D2235D" w:rsidRPr="00DB786A" w:rsidTr="006801E0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1.7.</w:t>
            </w:r>
          </w:p>
        </w:tc>
        <w:tc>
          <w:tcPr>
            <w:tcW w:w="144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>
              <w:rPr>
                <w:i/>
                <w:spacing w:val="-9"/>
                <w:sz w:val="24"/>
                <w:szCs w:val="24"/>
              </w:rPr>
              <w:t>органами</w:t>
            </w:r>
            <w:proofErr w:type="gramEnd"/>
            <w:r>
              <w:rPr>
                <w:i/>
                <w:spacing w:val="-9"/>
                <w:sz w:val="24"/>
                <w:szCs w:val="24"/>
              </w:rPr>
              <w:t xml:space="preserve"> местного са</w:t>
            </w:r>
            <w:r w:rsidRPr="00DB786A">
              <w:rPr>
                <w:i/>
                <w:spacing w:val="-9"/>
                <w:sz w:val="24"/>
                <w:szCs w:val="24"/>
              </w:rPr>
              <w:t>моуправления, в том числе муниципальными юридическими бюро</w:t>
            </w:r>
            <w:r w:rsidRPr="00DB786A">
              <w:rPr>
                <w:sz w:val="24"/>
                <w:szCs w:val="24"/>
              </w:rPr>
              <w:t>:</w:t>
            </w:r>
          </w:p>
        </w:tc>
      </w:tr>
      <w:tr w:rsidR="00D2235D" w:rsidRPr="00DB786A" w:rsidTr="006801E0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86A">
              <w:rPr>
                <w:rFonts w:eastAsiaTheme="minorHAnsi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обращений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граждан</w:t>
            </w:r>
            <w:proofErr w:type="gramEnd"/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по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вопросам оказания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бесплатной</w:t>
            </w:r>
            <w:proofErr w:type="gramEnd"/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юридической</w:t>
            </w:r>
            <w:proofErr w:type="gramEnd"/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помощи</w:t>
            </w:r>
            <w:proofErr w:type="gramEnd"/>
          </w:p>
          <w:p w:rsidR="00D2235D" w:rsidRPr="00DB786A" w:rsidRDefault="00D2235D" w:rsidP="007C4B4D">
            <w:pPr>
              <w:widowControl w:val="0"/>
              <w:spacing w:line="140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обращений граждан,</w:t>
            </w:r>
          </w:p>
          <w:p w:rsidR="00D2235D" w:rsidRPr="00DB786A" w:rsidRDefault="00D2235D" w:rsidP="007C4B4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по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которым оказана</w:t>
            </w:r>
          </w:p>
          <w:p w:rsidR="00D2235D" w:rsidRPr="00DB786A" w:rsidRDefault="00D2235D" w:rsidP="00D2235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бесплатная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30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случаев оказанной бесплатной юридической</w:t>
            </w:r>
          </w:p>
          <w:p w:rsidR="00D2235D" w:rsidRPr="00DB786A" w:rsidRDefault="00D2235D" w:rsidP="007C4B4D">
            <w:pPr>
              <w:widowControl w:val="0"/>
              <w:spacing w:line="230" w:lineRule="exact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помощи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в виде: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размещенных материалов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по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правовому информированию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и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правовому просвещению согласно</w:t>
            </w:r>
          </w:p>
          <w:p w:rsidR="00D2235D" w:rsidRPr="00DB786A" w:rsidRDefault="00D2235D" w:rsidP="00D2235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ст. 28 Федерального закона № 324-ФЗ:</w:t>
            </w:r>
          </w:p>
        </w:tc>
      </w:tr>
      <w:tr w:rsidR="00D2235D" w:rsidRPr="00DB786A" w:rsidTr="006801E0">
        <w:trPr>
          <w:cantSplit/>
          <w:trHeight w:hRule="exact" w:val="1728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правового</w:t>
            </w:r>
            <w:proofErr w:type="gramEnd"/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консульти</w:t>
            </w:r>
            <w:r w:rsidRPr="00DB786A">
              <w:rPr>
                <w:spacing w:val="-9"/>
                <w:sz w:val="24"/>
                <w:szCs w:val="24"/>
              </w:rPr>
              <w:softHyphen/>
              <w:t>рования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в устной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форме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правового</w:t>
            </w:r>
            <w:proofErr w:type="gramEnd"/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консульти</w:t>
            </w:r>
            <w:r w:rsidRPr="00DB786A">
              <w:rPr>
                <w:spacing w:val="-9"/>
                <w:sz w:val="24"/>
                <w:szCs w:val="24"/>
              </w:rPr>
              <w:softHyphen/>
              <w:t>рования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составление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документов правового ха</w:t>
            </w:r>
            <w:r w:rsidRPr="00DB786A">
              <w:rPr>
                <w:spacing w:val="-9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представле</w:t>
            </w:r>
            <w:r w:rsidRPr="00DB786A">
              <w:rPr>
                <w:spacing w:val="-9"/>
                <w:sz w:val="24"/>
                <w:szCs w:val="24"/>
              </w:rPr>
              <w:softHyphen/>
              <w:t>ние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интересов в судах и других органах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tabs>
                <w:tab w:val="left" w:pos="900"/>
              </w:tabs>
              <w:spacing w:line="192" w:lineRule="auto"/>
              <w:ind w:left="113" w:right="131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в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средствах массовой инфор</w:t>
            </w:r>
            <w:r w:rsidRPr="00DB786A">
              <w:rPr>
                <w:spacing w:val="-9"/>
                <w:sz w:val="24"/>
                <w:szCs w:val="24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в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сети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Ин</w:t>
            </w:r>
            <w:r w:rsidRPr="00DB786A">
              <w:rPr>
                <w:spacing w:val="-9"/>
                <w:sz w:val="24"/>
                <w:szCs w:val="24"/>
              </w:rPr>
              <w:softHyphen/>
              <w:t>тер</w:t>
            </w:r>
            <w:r w:rsidRPr="00DB786A">
              <w:rPr>
                <w:spacing w:val="-9"/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изданных</w:t>
            </w:r>
            <w:proofErr w:type="gramEnd"/>
            <w:r w:rsidRPr="00DB786A">
              <w:rPr>
                <w:spacing w:val="-9"/>
                <w:sz w:val="24"/>
                <w:szCs w:val="24"/>
              </w:rPr>
              <w:t xml:space="preserve"> брошюр, памяток и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иным</w:t>
            </w:r>
            <w:proofErr w:type="gramEnd"/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proofErr w:type="gramStart"/>
            <w:r w:rsidRPr="00DB786A">
              <w:rPr>
                <w:spacing w:val="-9"/>
                <w:sz w:val="24"/>
                <w:szCs w:val="24"/>
              </w:rPr>
              <w:t>способом</w:t>
            </w:r>
            <w:proofErr w:type="gramEnd"/>
          </w:p>
        </w:tc>
      </w:tr>
      <w:tr w:rsidR="00D2235D" w:rsidRPr="007A7E81" w:rsidTr="006801E0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  <w:p w:rsidR="00D2235D" w:rsidRPr="007A7E81" w:rsidRDefault="00D2235D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E8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</w:tr>
    </w:tbl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15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97"/>
        <w:gridCol w:w="425"/>
        <w:gridCol w:w="1276"/>
        <w:gridCol w:w="1311"/>
        <w:gridCol w:w="1098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D2235D" w:rsidRPr="00DB786A" w:rsidTr="007C4B4D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877F0">
            <w:pPr>
              <w:widowControl w:val="0"/>
              <w:shd w:val="clear" w:color="auto" w:fill="FFFFFF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Количество отказов в оказании бесплатной юри</w:t>
            </w:r>
            <w:r w:rsidRPr="00DB786A">
              <w:rPr>
                <w:spacing w:val="-9"/>
                <w:sz w:val="23"/>
                <w:szCs w:val="23"/>
              </w:rPr>
              <w:softHyphen/>
              <w:t>дической помощи</w:t>
            </w:r>
          </w:p>
        </w:tc>
      </w:tr>
      <w:tr w:rsidR="00D2235D" w:rsidRPr="00DB786A" w:rsidTr="006801E0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Мало</w:t>
            </w:r>
            <w:r w:rsidRPr="00DB786A">
              <w:rPr>
                <w:spacing w:val="-9"/>
                <w:sz w:val="23"/>
                <w:szCs w:val="23"/>
              </w:rPr>
              <w:softHyphen/>
              <w:t>имущие 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Инвалиды 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Ветераны Великой Отечественной войны, Герои Российской Федерации, Герои Советско</w:t>
            </w:r>
            <w:r w:rsidRPr="00DB786A">
              <w:rPr>
                <w:spacing w:val="-9"/>
                <w:sz w:val="23"/>
                <w:szCs w:val="23"/>
              </w:rPr>
              <w:softHyphen/>
              <w:t>го Союза, Герои Социали</w:t>
            </w:r>
            <w:r w:rsidRPr="00DB786A">
              <w:rPr>
                <w:spacing w:val="-9"/>
                <w:sz w:val="23"/>
                <w:szCs w:val="23"/>
              </w:rPr>
              <w:softHyphen/>
              <w:t>стическо</w:t>
            </w:r>
            <w:r w:rsidRPr="00DB786A">
              <w:rPr>
                <w:spacing w:val="-9"/>
                <w:sz w:val="23"/>
                <w:szCs w:val="23"/>
              </w:rPr>
              <w:softHyphen/>
              <w:t>го Труда, Герои труда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 xml:space="preserve">Дети-инвалиды, дети-сироты, дети, оставшиеся без попечения родителей, лица из числа детей- </w:t>
            </w:r>
            <w:proofErr w:type="gramStart"/>
            <w:r w:rsidRPr="00DB786A">
              <w:rPr>
                <w:spacing w:val="-9"/>
                <w:sz w:val="23"/>
                <w:szCs w:val="23"/>
              </w:rPr>
              <w:t>сирот  и</w:t>
            </w:r>
            <w:proofErr w:type="gramEnd"/>
            <w:r w:rsidRPr="00DB786A">
              <w:rPr>
                <w:spacing w:val="-9"/>
                <w:sz w:val="23"/>
                <w:szCs w:val="23"/>
              </w:rPr>
              <w:t xml:space="preserve"> детей, оставшихся без попечения родителей, их  законные представители и представители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877F0">
            <w:pPr>
              <w:widowControl w:val="0"/>
              <w:spacing w:line="278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Несовершеннолетние, со</w:t>
            </w:r>
            <w:r w:rsidRPr="00DB786A">
              <w:rPr>
                <w:spacing w:val="-9"/>
                <w:sz w:val="23"/>
                <w:szCs w:val="23"/>
              </w:rPr>
              <w:softHyphen/>
              <w:t>держащиеся в учреждениях системы профилактики безнадзорности и правонарушений несовершеннолетних, отбывающих наказание в местах лишения свободы, их законные представители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69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признан</w:t>
            </w:r>
            <w:r w:rsidRPr="00DB786A">
              <w:rPr>
                <w:spacing w:val="-9"/>
                <w:sz w:val="23"/>
                <w:szCs w:val="23"/>
              </w:rPr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которым право на получение бесплатной юридической помощи предоставлено в соответствии законами субъектов 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3"/>
                <w:szCs w:val="23"/>
              </w:rPr>
            </w:pPr>
          </w:p>
        </w:tc>
      </w:tr>
      <w:tr w:rsidR="00D2235D" w:rsidRPr="00DB786A" w:rsidTr="006801E0">
        <w:trPr>
          <w:trHeight w:hRule="exact" w:val="550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6801E0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69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</w:tr>
    </w:tbl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A7E81" w:rsidRDefault="007A7E81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Pr="00DB786A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339"/>
      </w:tblGrid>
      <w:tr w:rsidR="00D2235D" w:rsidRPr="00DB786A" w:rsidTr="007C4B4D">
        <w:trPr>
          <w:jc w:val="center"/>
        </w:trPr>
        <w:tc>
          <w:tcPr>
            <w:tcW w:w="15156" w:type="dxa"/>
            <w:gridSpan w:val="2"/>
            <w:vAlign w:val="center"/>
          </w:tcPr>
          <w:p w:rsidR="00D2235D" w:rsidRPr="00DB786A" w:rsidRDefault="00D2235D" w:rsidP="007C4B4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B786A">
              <w:rPr>
                <w:b/>
                <w:sz w:val="24"/>
                <w:szCs w:val="24"/>
              </w:rPr>
              <w:lastRenderedPageBreak/>
              <w:t>2. Результаты взаимодействия органов государственной власти субъектов Российской Федерации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2.9.1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2.9.2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2.9.3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786A">
              <w:rPr>
                <w:sz w:val="24"/>
                <w:szCs w:val="24"/>
              </w:rPr>
              <w:t xml:space="preserve"> 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2.9.4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2713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Чебоксарского района 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>правозащитные некоммерческие организации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муниципальные юридические бюро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состоянию на 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09</w:t>
            </w:r>
            <w:r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01</w:t>
            </w:r>
            <w:r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.201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не созданы. Таким образом, комплекс мероприятий, направленных на поддержку социально ориентированных правозащитных некоммерческих организаций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муниципальных юридических бюро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соответствующими программами не предусмотрен</w:t>
            </w:r>
            <w:r w:rsidR="00133F6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D2235D" w:rsidRPr="00DB786A" w:rsidRDefault="00D2235D" w:rsidP="007C4B4D">
            <w:pPr>
              <w:rPr>
                <w:sz w:val="24"/>
                <w:szCs w:val="24"/>
              </w:rPr>
            </w:pPr>
          </w:p>
        </w:tc>
      </w:tr>
      <w:tr w:rsidR="00D2235D" w:rsidRPr="00DB786A" w:rsidTr="007C4B4D">
        <w:trPr>
          <w:jc w:val="center"/>
        </w:trPr>
        <w:tc>
          <w:tcPr>
            <w:tcW w:w="15156" w:type="dxa"/>
            <w:gridSpan w:val="2"/>
          </w:tcPr>
          <w:p w:rsidR="00D2235D" w:rsidRPr="00DB786A" w:rsidRDefault="00D2235D" w:rsidP="007C4B4D">
            <w:pPr>
              <w:jc w:val="both"/>
              <w:rPr>
                <w:b/>
                <w:sz w:val="24"/>
                <w:szCs w:val="24"/>
              </w:rPr>
            </w:pPr>
            <w:r w:rsidRPr="00DB786A">
              <w:rPr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во исполнение Федерального закона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D2235D" w:rsidRPr="00DB786A" w:rsidRDefault="00133F6C" w:rsidP="006801E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r w:rsidR="00D2235D" w:rsidRPr="008277A5">
              <w:rPr>
                <w:rFonts w:ascii="Times New Roman" w:eastAsia="Batang" w:hAnsi="Times New Roman"/>
                <w:sz w:val="24"/>
                <w:szCs w:val="24"/>
              </w:rPr>
              <w:t xml:space="preserve">арантия на получение гражданами бесплатной квалифицированной юридической помощи на территории </w:t>
            </w:r>
            <w:r w:rsidR="00D2235D">
              <w:rPr>
                <w:rFonts w:ascii="Times New Roman" w:eastAsia="Batang" w:hAnsi="Times New Roman"/>
                <w:sz w:val="24"/>
                <w:szCs w:val="24"/>
              </w:rPr>
              <w:t>Чебоксарского</w:t>
            </w:r>
            <w:r w:rsidR="00D2235D" w:rsidRPr="008277A5">
              <w:rPr>
                <w:rFonts w:ascii="Times New Roman" w:eastAsia="Batang" w:hAnsi="Times New Roman"/>
                <w:sz w:val="24"/>
                <w:szCs w:val="24"/>
              </w:rPr>
              <w:t xml:space="preserve"> района установлена </w:t>
            </w:r>
            <w:r w:rsidR="00D2235D" w:rsidRPr="005D784F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2235D" w:rsidRPr="00AE18CC">
              <w:rPr>
                <w:rFonts w:ascii="Times New Roman" w:hAnsi="Times New Roman"/>
                <w:sz w:val="24"/>
                <w:szCs w:val="24"/>
              </w:rPr>
              <w:t>Чебоксарского района от 25.</w:t>
            </w:r>
            <w:r w:rsidR="006801E0">
              <w:rPr>
                <w:rFonts w:ascii="Times New Roman" w:hAnsi="Times New Roman"/>
                <w:sz w:val="24"/>
                <w:szCs w:val="24"/>
              </w:rPr>
              <w:t>05</w:t>
            </w:r>
            <w:r w:rsidR="00D2235D" w:rsidRPr="00AE18CC">
              <w:rPr>
                <w:rFonts w:ascii="Times New Roman" w:hAnsi="Times New Roman"/>
                <w:sz w:val="24"/>
                <w:szCs w:val="24"/>
              </w:rPr>
              <w:t>.20</w:t>
            </w:r>
            <w:r w:rsidR="006801E0">
              <w:rPr>
                <w:rFonts w:ascii="Times New Roman" w:hAnsi="Times New Roman"/>
                <w:sz w:val="24"/>
                <w:szCs w:val="24"/>
              </w:rPr>
              <w:t>20</w:t>
            </w:r>
            <w:r w:rsidR="00D2235D" w:rsidRPr="00AE18C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801E0">
              <w:rPr>
                <w:rFonts w:ascii="Times New Roman" w:hAnsi="Times New Roman"/>
                <w:sz w:val="24"/>
                <w:szCs w:val="24"/>
              </w:rPr>
              <w:t>553</w:t>
            </w:r>
            <w:r w:rsidR="00D2235D" w:rsidRPr="00AE18CC">
              <w:rPr>
                <w:rFonts w:ascii="Times New Roman" w:hAnsi="Times New Roman"/>
                <w:sz w:val="24"/>
                <w:szCs w:val="24"/>
              </w:rPr>
              <w:t>, которым утверждено Положение об оказании бесплатной юридической помощи жителям Чебоксарского района Чувашской Республики</w:t>
            </w:r>
          </w:p>
        </w:tc>
      </w:tr>
    </w:tbl>
    <w:p w:rsidR="00D2235D" w:rsidRPr="00DB786A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Pr="00DB786A" w:rsidRDefault="00D2235D" w:rsidP="00D2235D">
      <w:pPr>
        <w:jc w:val="both"/>
        <w:rPr>
          <w:rFonts w:eastAsiaTheme="minorHAnsi"/>
          <w:sz w:val="24"/>
          <w:szCs w:val="24"/>
          <w:lang w:eastAsia="en-US"/>
        </w:rPr>
      </w:pPr>
    </w:p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B96DCA" w:rsidRPr="00D2235D" w:rsidRDefault="00B96DCA" w:rsidP="00D2235D">
      <w:bookmarkStart w:id="0" w:name="_GoBack"/>
      <w:bookmarkEnd w:id="0"/>
    </w:p>
    <w:sectPr w:rsidR="00B96DCA" w:rsidRPr="00D2235D" w:rsidSect="00D2235D"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F3" w:rsidRDefault="003563F3">
      <w:r>
        <w:separator/>
      </w:r>
    </w:p>
  </w:endnote>
  <w:endnote w:type="continuationSeparator" w:id="0">
    <w:p w:rsidR="003563F3" w:rsidRDefault="003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F3" w:rsidRDefault="003563F3">
      <w:r>
        <w:separator/>
      </w:r>
    </w:p>
  </w:footnote>
  <w:footnote w:type="continuationSeparator" w:id="0">
    <w:p w:rsidR="003563F3" w:rsidRDefault="0035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5D"/>
    <w:rsid w:val="00085DCA"/>
    <w:rsid w:val="000F63BB"/>
    <w:rsid w:val="00133F6C"/>
    <w:rsid w:val="003563F3"/>
    <w:rsid w:val="00433F37"/>
    <w:rsid w:val="0059773F"/>
    <w:rsid w:val="00633F09"/>
    <w:rsid w:val="006801E0"/>
    <w:rsid w:val="007877F0"/>
    <w:rsid w:val="007A7E81"/>
    <w:rsid w:val="009325E2"/>
    <w:rsid w:val="00AC1DEE"/>
    <w:rsid w:val="00B2548A"/>
    <w:rsid w:val="00B96DCA"/>
    <w:rsid w:val="00BD1CA1"/>
    <w:rsid w:val="00C7595D"/>
    <w:rsid w:val="00C964C0"/>
    <w:rsid w:val="00CC1481"/>
    <w:rsid w:val="00D2235D"/>
    <w:rsid w:val="00DF5D6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6FE7E-D0EC-4B95-B476-F3807EA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22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3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23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Петровская А.С.</cp:lastModifiedBy>
  <cp:revision>8</cp:revision>
  <cp:lastPrinted>2020-07-09T08:00:00Z</cp:lastPrinted>
  <dcterms:created xsi:type="dcterms:W3CDTF">2018-01-25T08:14:00Z</dcterms:created>
  <dcterms:modified xsi:type="dcterms:W3CDTF">2020-07-09T08:00:00Z</dcterms:modified>
</cp:coreProperties>
</file>