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C" w:rsidRPr="00745A40" w:rsidRDefault="00745A40" w:rsidP="00F05E9C">
      <w:pPr>
        <w:jc w:val="center"/>
        <w:rPr>
          <w:b/>
          <w:sz w:val="28"/>
          <w:szCs w:val="26"/>
        </w:rPr>
      </w:pPr>
      <w:r w:rsidRPr="00745A40">
        <w:rPr>
          <w:b/>
          <w:sz w:val="28"/>
          <w:szCs w:val="26"/>
        </w:rPr>
        <w:t>Внешнеэкономическая деятельность</w:t>
      </w:r>
    </w:p>
    <w:p w:rsidR="00F05E9C" w:rsidRDefault="00F05E9C" w:rsidP="00F05E9C">
      <w:pPr>
        <w:jc w:val="center"/>
        <w:rPr>
          <w:sz w:val="26"/>
          <w:szCs w:val="26"/>
        </w:rPr>
      </w:pPr>
    </w:p>
    <w:p w:rsidR="00AA3C17" w:rsidRDefault="002C5CF7" w:rsidP="00AA3C17">
      <w:pPr>
        <w:shd w:val="clear" w:color="auto" w:fill="FFFFFF" w:themeFill="background1"/>
        <w:spacing w:line="288" w:lineRule="auto"/>
        <w:ind w:firstLine="709"/>
        <w:jc w:val="both"/>
        <w:rPr>
          <w:rFonts w:eastAsia="Calibri"/>
          <w:lang w:eastAsia="en-US"/>
        </w:rPr>
      </w:pPr>
      <w:proofErr w:type="gramStart"/>
      <w:r w:rsidRPr="00FB72DB">
        <w:rPr>
          <w:rFonts w:eastAsia="Calibri"/>
          <w:lang w:eastAsia="en-US"/>
        </w:rPr>
        <w:t>Внешнеторговый оборот Чувашской Республики по данным Приволжского таможенного управления в 2020 год</w:t>
      </w:r>
      <w:r w:rsidR="00414DC0">
        <w:rPr>
          <w:rFonts w:eastAsia="Calibri"/>
          <w:lang w:eastAsia="en-US"/>
        </w:rPr>
        <w:t>у</w:t>
      </w:r>
      <w:r w:rsidRPr="00FB72DB">
        <w:rPr>
          <w:rFonts w:eastAsia="Calibri"/>
          <w:lang w:eastAsia="en-US"/>
        </w:rPr>
        <w:t xml:space="preserve"> составил </w:t>
      </w:r>
      <w:r w:rsidR="00414DC0">
        <w:rPr>
          <w:rFonts w:eastAsia="Calibri"/>
          <w:lang w:eastAsia="en-US"/>
        </w:rPr>
        <w:t xml:space="preserve">538,9 </w:t>
      </w:r>
      <w:r w:rsidRPr="00FB72DB">
        <w:rPr>
          <w:rFonts w:eastAsia="Calibri"/>
          <w:lang w:eastAsia="en-US"/>
        </w:rPr>
        <w:t xml:space="preserve">млн. долл. США и увеличился на </w:t>
      </w:r>
      <w:r w:rsidR="00414DC0">
        <w:rPr>
          <w:rFonts w:eastAsia="Calibri"/>
          <w:lang w:eastAsia="en-US"/>
        </w:rPr>
        <w:t>2,6</w:t>
      </w:r>
      <w:r w:rsidRPr="00FB72DB">
        <w:rPr>
          <w:rFonts w:eastAsia="Calibri"/>
          <w:lang w:eastAsia="en-US"/>
        </w:rPr>
        <w:t>% по сравнению с 2019 год</w:t>
      </w:r>
      <w:r w:rsidR="00414DC0">
        <w:rPr>
          <w:rFonts w:eastAsia="Calibri"/>
          <w:lang w:eastAsia="en-US"/>
        </w:rPr>
        <w:t>ом</w:t>
      </w:r>
      <w:r w:rsidRPr="00FB72DB">
        <w:rPr>
          <w:rFonts w:eastAsia="Calibri"/>
          <w:lang w:eastAsia="en-US"/>
        </w:rPr>
        <w:t xml:space="preserve">, в том числе экспорт составил </w:t>
      </w:r>
      <w:r w:rsidR="00414DC0">
        <w:rPr>
          <w:rFonts w:eastAsia="Calibri"/>
          <w:lang w:eastAsia="en-US"/>
        </w:rPr>
        <w:t>248,3</w:t>
      </w:r>
      <w:r w:rsidRPr="00FB72DB">
        <w:rPr>
          <w:rFonts w:eastAsia="Calibri"/>
          <w:lang w:eastAsia="en-US"/>
        </w:rPr>
        <w:t xml:space="preserve"> млн. долл. США и увеличился на 2</w:t>
      </w:r>
      <w:r w:rsidR="00414DC0">
        <w:rPr>
          <w:rFonts w:eastAsia="Calibri"/>
          <w:lang w:eastAsia="en-US"/>
        </w:rPr>
        <w:t>4</w:t>
      </w:r>
      <w:r w:rsidRPr="00FB72DB">
        <w:rPr>
          <w:rFonts w:eastAsia="Calibri"/>
          <w:lang w:eastAsia="en-US"/>
        </w:rPr>
        <w:t>,</w:t>
      </w:r>
      <w:r w:rsidR="00414DC0">
        <w:rPr>
          <w:rFonts w:eastAsia="Calibri"/>
          <w:lang w:eastAsia="en-US"/>
        </w:rPr>
        <w:t>3</w:t>
      </w:r>
      <w:r w:rsidRPr="00FB72DB">
        <w:rPr>
          <w:rFonts w:eastAsia="Calibri"/>
          <w:lang w:eastAsia="en-US"/>
        </w:rPr>
        <w:t xml:space="preserve">%, импорт – </w:t>
      </w:r>
      <w:r w:rsidR="00414DC0">
        <w:rPr>
          <w:rFonts w:eastAsia="Calibri"/>
          <w:lang w:eastAsia="en-US"/>
        </w:rPr>
        <w:t>290,5</w:t>
      </w:r>
      <w:r w:rsidRPr="00FB72DB">
        <w:rPr>
          <w:rFonts w:eastAsia="Calibri"/>
          <w:lang w:eastAsia="en-US"/>
        </w:rPr>
        <w:t xml:space="preserve"> млн. долл. США и </w:t>
      </w:r>
      <w:r w:rsidRPr="00231E7A">
        <w:rPr>
          <w:rFonts w:eastAsia="Calibri"/>
          <w:lang w:eastAsia="en-US"/>
        </w:rPr>
        <w:t xml:space="preserve">уменьшился на </w:t>
      </w:r>
      <w:r w:rsidR="00231E7A" w:rsidRPr="00231E7A">
        <w:rPr>
          <w:rFonts w:eastAsia="Calibri"/>
          <w:lang w:eastAsia="en-US"/>
        </w:rPr>
        <w:t>10,7</w:t>
      </w:r>
      <w:r w:rsidRPr="00231E7A">
        <w:rPr>
          <w:rFonts w:eastAsia="Calibri"/>
          <w:lang w:eastAsia="en-US"/>
        </w:rPr>
        <w:t>%.</w:t>
      </w:r>
      <w:r w:rsidRPr="00FB72DB">
        <w:rPr>
          <w:rFonts w:eastAsia="Calibri"/>
          <w:lang w:eastAsia="en-US"/>
        </w:rPr>
        <w:t xml:space="preserve"> </w:t>
      </w:r>
      <w:r w:rsidR="00EF10EC" w:rsidRPr="00EF10EC">
        <w:rPr>
          <w:rFonts w:eastAsia="Calibri"/>
          <w:lang w:eastAsia="en-US"/>
        </w:rPr>
        <w:t>Сальдо торгового баланса сложилось отрицательное, -</w:t>
      </w:r>
      <w:r w:rsidR="00EF10EC">
        <w:rPr>
          <w:rFonts w:eastAsia="Calibri"/>
          <w:lang w:eastAsia="en-US"/>
        </w:rPr>
        <w:t>42,</w:t>
      </w:r>
      <w:r w:rsidR="00EF10EC" w:rsidRPr="00EF10EC">
        <w:rPr>
          <w:rFonts w:eastAsia="Calibri"/>
          <w:lang w:eastAsia="en-US"/>
        </w:rPr>
        <w:t>2 млн. долларов.</w:t>
      </w:r>
      <w:proofErr w:type="gramEnd"/>
    </w:p>
    <w:p w:rsidR="00910EF9" w:rsidRPr="00AA3C17" w:rsidRDefault="00910EF9" w:rsidP="00AA3C17">
      <w:pPr>
        <w:shd w:val="clear" w:color="auto" w:fill="FFFFFF" w:themeFill="background1"/>
        <w:spacing w:line="288" w:lineRule="auto"/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238"/>
        <w:gridCol w:w="1229"/>
        <w:gridCol w:w="1240"/>
        <w:gridCol w:w="1240"/>
        <w:gridCol w:w="1240"/>
        <w:gridCol w:w="1241"/>
      </w:tblGrid>
      <w:tr w:rsidR="00E33846" w:rsidTr="00910EF9">
        <w:trPr>
          <w:cantSplit/>
        </w:trPr>
        <w:tc>
          <w:tcPr>
            <w:tcW w:w="2211" w:type="dxa"/>
            <w:vMerge w:val="restart"/>
            <w:tcBorders>
              <w:top w:val="doub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</w:p>
        </w:tc>
        <w:tc>
          <w:tcPr>
            <w:tcW w:w="2467" w:type="dxa"/>
            <w:gridSpan w:val="2"/>
            <w:vMerge w:val="restart"/>
            <w:tcBorders>
              <w:top w:val="doub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Внешнеторговый</w:t>
            </w:r>
            <w:r>
              <w:br/>
              <w:t>оборот,</w:t>
            </w:r>
            <w:r>
              <w:br/>
            </w:r>
            <w:r w:rsidR="00910EF9">
              <w:t xml:space="preserve">за </w:t>
            </w:r>
            <w:r>
              <w:t>2020г.</w:t>
            </w:r>
          </w:p>
        </w:tc>
        <w:tc>
          <w:tcPr>
            <w:tcW w:w="4961" w:type="dxa"/>
            <w:gridSpan w:val="4"/>
            <w:tcBorders>
              <w:top w:val="doub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в том числе</w:t>
            </w:r>
          </w:p>
        </w:tc>
      </w:tr>
      <w:tr w:rsidR="00E33846" w:rsidTr="00910EF9">
        <w:trPr>
          <w:cantSplit/>
        </w:trPr>
        <w:tc>
          <w:tcPr>
            <w:tcW w:w="2211" w:type="dxa"/>
            <w:vMerge/>
          </w:tcPr>
          <w:p w:rsidR="00E33846" w:rsidRDefault="00E33846" w:rsidP="00910EF9">
            <w:pPr>
              <w:pStyle w:val="af3"/>
              <w:spacing w:before="60" w:after="60" w:line="204" w:lineRule="auto"/>
            </w:pPr>
          </w:p>
        </w:tc>
        <w:tc>
          <w:tcPr>
            <w:tcW w:w="2467" w:type="dxa"/>
            <w:gridSpan w:val="2"/>
            <w:vMerge/>
          </w:tcPr>
          <w:p w:rsidR="00E33846" w:rsidRDefault="00E33846" w:rsidP="00910EF9">
            <w:pPr>
              <w:pStyle w:val="af3"/>
              <w:spacing w:before="60" w:after="60" w:line="204" w:lineRule="auto"/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экспорт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импорт</w:t>
            </w:r>
          </w:p>
        </w:tc>
      </w:tr>
      <w:tr w:rsidR="00E33846" w:rsidTr="00910EF9">
        <w:trPr>
          <w:cantSplit/>
        </w:trPr>
        <w:tc>
          <w:tcPr>
            <w:tcW w:w="2211" w:type="dxa"/>
            <w:vMerge/>
            <w:tcBorders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млн. долл.</w:t>
            </w:r>
            <w:r>
              <w:br/>
              <w:t>США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в % к</w:t>
            </w:r>
            <w:r>
              <w:br/>
            </w:r>
            <w:r w:rsidR="00910EF9">
              <w:t>2019 г.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млн. долл. США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:rsidR="00E33846" w:rsidRPr="00AF2546" w:rsidRDefault="007E54BD" w:rsidP="00910EF9">
            <w:pPr>
              <w:pStyle w:val="af3"/>
              <w:spacing w:before="60" w:after="60" w:line="204" w:lineRule="auto"/>
            </w:pPr>
            <w:r>
              <w:t>в % к</w:t>
            </w:r>
            <w:r>
              <w:br/>
            </w:r>
            <w:r w:rsidR="00910EF9">
              <w:t>2019 г.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:rsidR="00E33846" w:rsidRDefault="00E33846" w:rsidP="00910EF9">
            <w:pPr>
              <w:pStyle w:val="af3"/>
              <w:spacing w:before="60" w:after="60" w:line="204" w:lineRule="auto"/>
            </w:pPr>
            <w:r>
              <w:t>млн. долл. США</w:t>
            </w: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E33846" w:rsidRDefault="007E54BD" w:rsidP="00910EF9">
            <w:pPr>
              <w:pStyle w:val="af3"/>
              <w:spacing w:before="60" w:after="60" w:line="204" w:lineRule="auto"/>
            </w:pPr>
            <w:r>
              <w:t>в % к</w:t>
            </w:r>
            <w:r>
              <w:br/>
            </w:r>
            <w:r w:rsidR="00910EF9">
              <w:t>2019 г.</w:t>
            </w:r>
          </w:p>
        </w:tc>
      </w:tr>
      <w:tr w:rsidR="00E33846" w:rsidRPr="0062041A" w:rsidTr="00910EF9">
        <w:tc>
          <w:tcPr>
            <w:tcW w:w="2211" w:type="dxa"/>
          </w:tcPr>
          <w:p w:rsidR="00E33846" w:rsidRPr="00EC0724" w:rsidRDefault="00E33846" w:rsidP="00910EF9">
            <w:pPr>
              <w:pStyle w:val="af2"/>
              <w:spacing w:before="120" w:line="204" w:lineRule="auto"/>
              <w:rPr>
                <w:b/>
              </w:rPr>
            </w:pPr>
            <w:r w:rsidRPr="000144E9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E33846" w:rsidRPr="005E24FE" w:rsidRDefault="00910EF9" w:rsidP="0093077F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>
              <w:rPr>
                <w:b/>
              </w:rPr>
              <w:t>538</w:t>
            </w:r>
            <w:r w:rsidR="009637F8">
              <w:rPr>
                <w:b/>
              </w:rPr>
              <w:t>,9</w:t>
            </w:r>
          </w:p>
        </w:tc>
        <w:tc>
          <w:tcPr>
            <w:tcW w:w="1229" w:type="dxa"/>
          </w:tcPr>
          <w:p w:rsidR="00E33846" w:rsidRPr="005E24FE" w:rsidRDefault="00EC0724" w:rsidP="009637F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EC0724">
              <w:rPr>
                <w:b/>
              </w:rPr>
              <w:t>10</w:t>
            </w:r>
            <w:r w:rsidR="009637F8">
              <w:rPr>
                <w:b/>
              </w:rPr>
              <w:t>2</w:t>
            </w:r>
            <w:r w:rsidRPr="00EC0724">
              <w:rPr>
                <w:b/>
              </w:rPr>
              <w:t>,</w:t>
            </w:r>
            <w:r w:rsidR="009637F8">
              <w:rPr>
                <w:b/>
              </w:rPr>
              <w:t>6</w:t>
            </w:r>
          </w:p>
        </w:tc>
        <w:tc>
          <w:tcPr>
            <w:tcW w:w="1240" w:type="dxa"/>
          </w:tcPr>
          <w:p w:rsidR="00E33846" w:rsidRPr="005E24FE" w:rsidRDefault="00E370CB" w:rsidP="00910EF9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>
              <w:rPr>
                <w:b/>
              </w:rPr>
              <w:t>248,3</w:t>
            </w:r>
          </w:p>
        </w:tc>
        <w:tc>
          <w:tcPr>
            <w:tcW w:w="1240" w:type="dxa"/>
          </w:tcPr>
          <w:p w:rsidR="00E33846" w:rsidRPr="005E24FE" w:rsidRDefault="00E370CB" w:rsidP="0054542F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>
              <w:rPr>
                <w:b/>
              </w:rPr>
              <w:t>124,3</w:t>
            </w:r>
          </w:p>
        </w:tc>
        <w:tc>
          <w:tcPr>
            <w:tcW w:w="1240" w:type="dxa"/>
          </w:tcPr>
          <w:p w:rsidR="00E33846" w:rsidRPr="005E24FE" w:rsidRDefault="00E370CB" w:rsidP="00910EF9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>
              <w:rPr>
                <w:b/>
              </w:rPr>
              <w:t>290,5</w:t>
            </w:r>
          </w:p>
        </w:tc>
        <w:tc>
          <w:tcPr>
            <w:tcW w:w="1241" w:type="dxa"/>
          </w:tcPr>
          <w:p w:rsidR="00E33846" w:rsidRPr="005E24FE" w:rsidRDefault="00E370CB" w:rsidP="004F553C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>
              <w:rPr>
                <w:b/>
              </w:rPr>
              <w:t>89,3</w:t>
            </w:r>
          </w:p>
        </w:tc>
      </w:tr>
      <w:tr w:rsidR="00E33846" w:rsidRPr="0062041A" w:rsidTr="00910EF9">
        <w:tc>
          <w:tcPr>
            <w:tcW w:w="2211" w:type="dxa"/>
          </w:tcPr>
          <w:p w:rsidR="00E33846" w:rsidRDefault="00E33846" w:rsidP="00910EF9">
            <w:pPr>
              <w:pStyle w:val="af2"/>
              <w:spacing w:before="120" w:line="204" w:lineRule="auto"/>
              <w:ind w:left="426"/>
            </w:pPr>
            <w:r>
              <w:t>в том числе:</w:t>
            </w:r>
          </w:p>
        </w:tc>
        <w:tc>
          <w:tcPr>
            <w:tcW w:w="1238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29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0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0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0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1" w:type="dxa"/>
          </w:tcPr>
          <w:p w:rsidR="00E33846" w:rsidRPr="005E24FE" w:rsidRDefault="00E33846" w:rsidP="00910EF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</w:tr>
      <w:tr w:rsidR="00E33846" w:rsidRPr="0062041A" w:rsidTr="00910EF9">
        <w:tc>
          <w:tcPr>
            <w:tcW w:w="2211" w:type="dxa"/>
          </w:tcPr>
          <w:p w:rsidR="00E33846" w:rsidRPr="006844A9" w:rsidRDefault="00E33846" w:rsidP="00910EF9">
            <w:pPr>
              <w:pStyle w:val="af2"/>
              <w:spacing w:before="120" w:line="204" w:lineRule="auto"/>
              <w:ind w:left="276"/>
            </w:pPr>
            <w:r>
              <w:t>страны дальнего</w:t>
            </w:r>
            <w:r>
              <w:br/>
              <w:t>зарубежья</w:t>
            </w:r>
          </w:p>
        </w:tc>
        <w:tc>
          <w:tcPr>
            <w:tcW w:w="1238" w:type="dxa"/>
            <w:vAlign w:val="bottom"/>
          </w:tcPr>
          <w:p w:rsidR="00E33846" w:rsidRPr="00EC0724" w:rsidRDefault="009E377C" w:rsidP="0093077F">
            <w:pPr>
              <w:pStyle w:val="af1"/>
              <w:spacing w:before="120" w:line="204" w:lineRule="auto"/>
              <w:ind w:right="329"/>
            </w:pPr>
            <w:r>
              <w:t>330,5</w:t>
            </w:r>
          </w:p>
        </w:tc>
        <w:tc>
          <w:tcPr>
            <w:tcW w:w="1229" w:type="dxa"/>
            <w:vAlign w:val="bottom"/>
          </w:tcPr>
          <w:p w:rsidR="00E33846" w:rsidRPr="00F402FD" w:rsidRDefault="009E377C" w:rsidP="0093077F">
            <w:pPr>
              <w:pStyle w:val="af1"/>
              <w:spacing w:before="120" w:line="204" w:lineRule="auto"/>
              <w:ind w:right="329"/>
            </w:pPr>
            <w:r>
              <w:t>97,9</w:t>
            </w:r>
          </w:p>
        </w:tc>
        <w:tc>
          <w:tcPr>
            <w:tcW w:w="1240" w:type="dxa"/>
            <w:vAlign w:val="bottom"/>
          </w:tcPr>
          <w:p w:rsidR="00E33846" w:rsidRPr="00636EE3" w:rsidRDefault="009E377C" w:rsidP="00910EF9">
            <w:pPr>
              <w:pStyle w:val="af1"/>
              <w:spacing w:before="120" w:line="204" w:lineRule="auto"/>
              <w:ind w:right="329"/>
            </w:pPr>
            <w:r>
              <w:t>86,7</w:t>
            </w:r>
          </w:p>
        </w:tc>
        <w:tc>
          <w:tcPr>
            <w:tcW w:w="1240" w:type="dxa"/>
            <w:vAlign w:val="bottom"/>
          </w:tcPr>
          <w:p w:rsidR="00E33846" w:rsidRPr="00660FAC" w:rsidRDefault="009E377C" w:rsidP="00910EF9">
            <w:pPr>
              <w:pStyle w:val="af1"/>
              <w:spacing w:before="120" w:line="204" w:lineRule="auto"/>
              <w:ind w:right="329"/>
            </w:pPr>
            <w:r>
              <w:t>125,5</w:t>
            </w:r>
          </w:p>
        </w:tc>
        <w:tc>
          <w:tcPr>
            <w:tcW w:w="1240" w:type="dxa"/>
            <w:vAlign w:val="bottom"/>
          </w:tcPr>
          <w:p w:rsidR="00E33846" w:rsidRPr="00636EE3" w:rsidRDefault="009E377C" w:rsidP="00636EE3">
            <w:pPr>
              <w:pStyle w:val="af1"/>
              <w:spacing w:before="120" w:line="204" w:lineRule="auto"/>
              <w:ind w:right="329"/>
            </w:pPr>
            <w:r>
              <w:t>243,7</w:t>
            </w:r>
          </w:p>
        </w:tc>
        <w:tc>
          <w:tcPr>
            <w:tcW w:w="1241" w:type="dxa"/>
            <w:vAlign w:val="bottom"/>
          </w:tcPr>
          <w:p w:rsidR="00E33846" w:rsidRPr="005E24FE" w:rsidRDefault="009E377C" w:rsidP="0093077F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>
              <w:t>90,8</w:t>
            </w:r>
          </w:p>
        </w:tc>
      </w:tr>
      <w:tr w:rsidR="00E33846" w:rsidRPr="0062041A" w:rsidTr="00910EF9">
        <w:tc>
          <w:tcPr>
            <w:tcW w:w="2211" w:type="dxa"/>
            <w:tcBorders>
              <w:bottom w:val="double" w:sz="6" w:space="0" w:color="auto"/>
            </w:tcBorders>
          </w:tcPr>
          <w:p w:rsidR="00E33846" w:rsidRDefault="00E33846" w:rsidP="00910EF9">
            <w:pPr>
              <w:pStyle w:val="af2"/>
              <w:spacing w:before="120" w:after="80" w:line="204" w:lineRule="auto"/>
              <w:ind w:left="276" w:hanging="134"/>
            </w:pPr>
            <w:r>
              <w:t>государства-участники СНГ</w:t>
            </w:r>
          </w:p>
        </w:tc>
        <w:tc>
          <w:tcPr>
            <w:tcW w:w="1238" w:type="dxa"/>
            <w:tcBorders>
              <w:bottom w:val="double" w:sz="6" w:space="0" w:color="auto"/>
            </w:tcBorders>
            <w:vAlign w:val="bottom"/>
          </w:tcPr>
          <w:p w:rsidR="00E33846" w:rsidRPr="00EC0724" w:rsidRDefault="009637F8" w:rsidP="00910EF9">
            <w:pPr>
              <w:pStyle w:val="af1"/>
              <w:spacing w:before="120" w:after="80" w:line="204" w:lineRule="auto"/>
              <w:ind w:right="330"/>
            </w:pPr>
            <w:r>
              <w:t>208,4</w:t>
            </w:r>
          </w:p>
        </w:tc>
        <w:tc>
          <w:tcPr>
            <w:tcW w:w="1229" w:type="dxa"/>
            <w:tcBorders>
              <w:bottom w:val="double" w:sz="6" w:space="0" w:color="auto"/>
            </w:tcBorders>
            <w:vAlign w:val="bottom"/>
          </w:tcPr>
          <w:p w:rsidR="00E33846" w:rsidRPr="00F402FD" w:rsidRDefault="009637F8" w:rsidP="000B37E0">
            <w:pPr>
              <w:pStyle w:val="af1"/>
              <w:spacing w:before="120" w:after="80" w:line="204" w:lineRule="auto"/>
              <w:ind w:right="329"/>
            </w:pPr>
            <w:r>
              <w:t>111,1</w:t>
            </w:r>
          </w:p>
        </w:tc>
        <w:tc>
          <w:tcPr>
            <w:tcW w:w="1240" w:type="dxa"/>
            <w:tcBorders>
              <w:bottom w:val="double" w:sz="6" w:space="0" w:color="auto"/>
            </w:tcBorders>
            <w:vAlign w:val="bottom"/>
          </w:tcPr>
          <w:p w:rsidR="00E33846" w:rsidRPr="00636EE3" w:rsidRDefault="00E370CB" w:rsidP="00E370CB">
            <w:pPr>
              <w:pStyle w:val="af1"/>
              <w:spacing w:before="120" w:after="80" w:line="204" w:lineRule="auto"/>
              <w:ind w:right="330"/>
            </w:pPr>
            <w:r>
              <w:t>161,6</w:t>
            </w:r>
          </w:p>
        </w:tc>
        <w:tc>
          <w:tcPr>
            <w:tcW w:w="1240" w:type="dxa"/>
            <w:tcBorders>
              <w:bottom w:val="double" w:sz="6" w:space="0" w:color="auto"/>
            </w:tcBorders>
            <w:vAlign w:val="bottom"/>
          </w:tcPr>
          <w:p w:rsidR="00E33846" w:rsidRPr="000B5218" w:rsidRDefault="00E370CB" w:rsidP="000B37E0">
            <w:pPr>
              <w:pStyle w:val="af1"/>
              <w:spacing w:before="120" w:after="80" w:line="204" w:lineRule="auto"/>
              <w:ind w:right="329"/>
            </w:pPr>
            <w:r>
              <w:t>123,7</w:t>
            </w:r>
          </w:p>
        </w:tc>
        <w:tc>
          <w:tcPr>
            <w:tcW w:w="1240" w:type="dxa"/>
            <w:tcBorders>
              <w:bottom w:val="double" w:sz="6" w:space="0" w:color="auto"/>
            </w:tcBorders>
            <w:vAlign w:val="bottom"/>
          </w:tcPr>
          <w:p w:rsidR="00E33846" w:rsidRPr="00636EE3" w:rsidRDefault="00E370CB" w:rsidP="00910EF9">
            <w:pPr>
              <w:pStyle w:val="af1"/>
              <w:spacing w:before="120" w:after="80" w:line="204" w:lineRule="auto"/>
              <w:ind w:right="330"/>
            </w:pPr>
            <w:r>
              <w:t>46,8</w:t>
            </w:r>
          </w:p>
        </w:tc>
        <w:tc>
          <w:tcPr>
            <w:tcW w:w="1241" w:type="dxa"/>
            <w:tcBorders>
              <w:bottom w:val="double" w:sz="6" w:space="0" w:color="auto"/>
            </w:tcBorders>
            <w:vAlign w:val="bottom"/>
          </w:tcPr>
          <w:p w:rsidR="00E33846" w:rsidRPr="005E24FE" w:rsidRDefault="00E370CB" w:rsidP="000B37E0">
            <w:pPr>
              <w:pStyle w:val="af1"/>
              <w:spacing w:before="120" w:after="80" w:line="204" w:lineRule="auto"/>
              <w:ind w:right="329"/>
              <w:rPr>
                <w:highlight w:val="yellow"/>
              </w:rPr>
            </w:pPr>
            <w:r>
              <w:t>82,2</w:t>
            </w:r>
          </w:p>
        </w:tc>
      </w:tr>
    </w:tbl>
    <w:p w:rsidR="00E33846" w:rsidRPr="009D2FD7" w:rsidRDefault="00E33846" w:rsidP="00E33846"/>
    <w:p w:rsidR="00E33846" w:rsidRDefault="00E33846" w:rsidP="00E33846">
      <w:r>
        <w:t xml:space="preserve">Доля экспорта во внешнеторговом обороте </w:t>
      </w:r>
      <w:r w:rsidRPr="00E33412">
        <w:t xml:space="preserve">составляла </w:t>
      </w:r>
      <w:r w:rsidR="00080D9A">
        <w:t>46,1</w:t>
      </w:r>
      <w:r w:rsidRPr="00E33412">
        <w:t xml:space="preserve">%, доля импорта – </w:t>
      </w:r>
      <w:r w:rsidR="00080D9A">
        <w:t>53,9</w:t>
      </w:r>
      <w:r w:rsidRPr="00E33412">
        <w:t>%.</w:t>
      </w:r>
    </w:p>
    <w:p w:rsidR="001665D9" w:rsidRDefault="001665D9" w:rsidP="001236D9">
      <w:pPr>
        <w:ind w:hanging="24"/>
        <w:jc w:val="center"/>
        <w:rPr>
          <w:b/>
          <w:color w:val="000000"/>
          <w:szCs w:val="26"/>
        </w:rPr>
      </w:pPr>
    </w:p>
    <w:p w:rsidR="008F70C0" w:rsidRDefault="008F70C0" w:rsidP="001236D9">
      <w:pPr>
        <w:ind w:hanging="24"/>
        <w:jc w:val="center"/>
        <w:rPr>
          <w:b/>
          <w:color w:val="000000"/>
          <w:szCs w:val="26"/>
        </w:rPr>
      </w:pPr>
    </w:p>
    <w:p w:rsidR="001236D9" w:rsidRPr="00705846" w:rsidRDefault="001236D9" w:rsidP="001236D9">
      <w:pPr>
        <w:ind w:hanging="24"/>
        <w:jc w:val="center"/>
        <w:rPr>
          <w:b/>
          <w:color w:val="000000"/>
          <w:szCs w:val="26"/>
        </w:rPr>
      </w:pPr>
      <w:r w:rsidRPr="00705846">
        <w:rPr>
          <w:b/>
          <w:color w:val="000000"/>
          <w:szCs w:val="26"/>
        </w:rPr>
        <w:t>Страны, активно сотрудничающие с Чувашской Республикой</w:t>
      </w:r>
    </w:p>
    <w:p w:rsidR="001236D9" w:rsidRDefault="001236D9" w:rsidP="001236D9">
      <w:pPr>
        <w:jc w:val="center"/>
        <w:rPr>
          <w:sz w:val="22"/>
        </w:rPr>
      </w:pPr>
      <w:r w:rsidRPr="00705846">
        <w:rPr>
          <w:sz w:val="22"/>
        </w:rPr>
        <w:t>(млн. долларов США)</w:t>
      </w:r>
    </w:p>
    <w:p w:rsidR="00822F61" w:rsidRDefault="00822F61" w:rsidP="001236D9">
      <w:pPr>
        <w:jc w:val="center"/>
        <w:rPr>
          <w:sz w:val="22"/>
        </w:rPr>
      </w:pPr>
    </w:p>
    <w:p w:rsidR="00822F61" w:rsidRDefault="00822F61" w:rsidP="001236D9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0D2E433A" wp14:editId="420CB433">
            <wp:extent cx="5937662" cy="3526972"/>
            <wp:effectExtent l="0" t="0" r="2540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6D9" w:rsidRDefault="001236D9" w:rsidP="00822F61">
      <w:pPr>
        <w:rPr>
          <w:b/>
          <w:color w:val="000000"/>
          <w:sz w:val="26"/>
          <w:szCs w:val="26"/>
        </w:rPr>
      </w:pPr>
    </w:p>
    <w:p w:rsidR="00414DC0" w:rsidRPr="00EE13E0" w:rsidRDefault="00414DC0" w:rsidP="00414DC0">
      <w:pPr>
        <w:shd w:val="clear" w:color="auto" w:fill="FFFFFF"/>
        <w:spacing w:line="288" w:lineRule="auto"/>
        <w:ind w:firstLine="709"/>
        <w:jc w:val="both"/>
        <w:rPr>
          <w:rFonts w:eastAsia="Calibri"/>
          <w:lang w:eastAsia="en-US"/>
        </w:rPr>
      </w:pPr>
      <w:r w:rsidRPr="00EE13E0">
        <w:rPr>
          <w:rFonts w:eastAsia="Calibri"/>
          <w:lang w:eastAsia="en-US"/>
        </w:rPr>
        <w:lastRenderedPageBreak/>
        <w:t xml:space="preserve">Торговыми партнерами Чувашской Республики в 2020 году являлись 99 стран. Основными торговыми партнерами были страны дальнего зарубежья. Их доля в товарообороте составила 63,1%, в том числе в экспорте – 34,9%, в импорте – 83,9%. </w:t>
      </w:r>
    </w:p>
    <w:p w:rsidR="00414DC0" w:rsidRPr="0060488F" w:rsidRDefault="00414DC0" w:rsidP="00414DC0">
      <w:pPr>
        <w:shd w:val="clear" w:color="auto" w:fill="FFFFFF"/>
        <w:spacing w:line="288" w:lineRule="auto"/>
        <w:ind w:firstLine="709"/>
        <w:jc w:val="both"/>
        <w:rPr>
          <w:rFonts w:eastAsia="Calibri"/>
          <w:lang w:eastAsia="en-US"/>
        </w:rPr>
      </w:pPr>
      <w:r w:rsidRPr="0060488F">
        <w:rPr>
          <w:rFonts w:eastAsia="Calibri"/>
          <w:lang w:eastAsia="en-US"/>
        </w:rPr>
        <w:t>Крупнейшие торговые партнеры:</w:t>
      </w:r>
    </w:p>
    <w:p w:rsidR="00414DC0" w:rsidRPr="0060488F" w:rsidRDefault="00414DC0" w:rsidP="00414DC0">
      <w:pPr>
        <w:shd w:val="clear" w:color="auto" w:fill="FFFFFF"/>
        <w:spacing w:line="288" w:lineRule="auto"/>
        <w:ind w:firstLine="709"/>
        <w:jc w:val="both"/>
        <w:rPr>
          <w:rFonts w:eastAsia="Calibri"/>
          <w:lang w:eastAsia="en-US"/>
        </w:rPr>
      </w:pPr>
      <w:r w:rsidRPr="0060488F">
        <w:rPr>
          <w:rFonts w:eastAsia="Calibri"/>
          <w:lang w:eastAsia="en-US"/>
        </w:rPr>
        <w:t>при экспорте (всего 89 стран): Казахстан (34,5%), Беларусь (15,7%), Китай (8,5%), Узбекистан (5,2%), Индия (4,1%).</w:t>
      </w:r>
    </w:p>
    <w:p w:rsidR="00414DC0" w:rsidRPr="005B21CB" w:rsidRDefault="00414DC0" w:rsidP="00414DC0">
      <w:pPr>
        <w:shd w:val="clear" w:color="auto" w:fill="FFFFFF"/>
        <w:spacing w:line="288" w:lineRule="auto"/>
        <w:ind w:firstLine="709"/>
        <w:jc w:val="both"/>
        <w:rPr>
          <w:rFonts w:eastAsia="Calibri"/>
          <w:lang w:eastAsia="en-US"/>
        </w:rPr>
      </w:pPr>
      <w:r w:rsidRPr="00682EF8">
        <w:rPr>
          <w:rFonts w:eastAsia="Calibri"/>
          <w:lang w:eastAsia="en-US"/>
        </w:rPr>
        <w:t>при импорте (всего 65 стран) – Китай (45,4%), Беларусь (13,9%), Германия (5,2%), Япония (4,6%), Италия (3,8%).</w:t>
      </w:r>
    </w:p>
    <w:p w:rsidR="007173F6" w:rsidRPr="00C55EEC" w:rsidRDefault="00414DC0" w:rsidP="00C55EEC">
      <w:pPr>
        <w:shd w:val="clear" w:color="auto" w:fill="FFFFFF" w:themeFill="background1"/>
        <w:spacing w:line="288" w:lineRule="auto"/>
        <w:ind w:firstLine="709"/>
        <w:jc w:val="both"/>
        <w:rPr>
          <w:rFonts w:eastAsia="Calibri"/>
          <w:lang w:eastAsia="en-US"/>
        </w:rPr>
      </w:pPr>
      <w:r w:rsidRPr="0040134B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5350363" wp14:editId="3DCFCD66">
            <wp:simplePos x="0" y="0"/>
            <wp:positionH relativeFrom="column">
              <wp:posOffset>867410</wp:posOffset>
            </wp:positionH>
            <wp:positionV relativeFrom="paragraph">
              <wp:posOffset>210820</wp:posOffset>
            </wp:positionV>
            <wp:extent cx="4333875" cy="2148840"/>
            <wp:effectExtent l="0" t="0" r="9525" b="22860"/>
            <wp:wrapThrough wrapText="bothSides">
              <wp:wrapPolygon edited="0">
                <wp:start x="0" y="0"/>
                <wp:lineTo x="0" y="21638"/>
                <wp:lineTo x="21553" y="21638"/>
                <wp:lineTo x="21553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45" w:rsidRPr="00EC5C45" w:rsidRDefault="00EC5C45" w:rsidP="00EC5C45">
      <w:pPr>
        <w:rPr>
          <w:lang w:eastAsia="en-US"/>
        </w:rPr>
      </w:pPr>
    </w:p>
    <w:p w:rsidR="004A72EE" w:rsidRDefault="004A72EE" w:rsidP="0036285C">
      <w:pPr>
        <w:ind w:firstLine="709"/>
        <w:jc w:val="both"/>
        <w:rPr>
          <w:sz w:val="26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822F61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  <w:r w:rsidRPr="0040134B">
        <w:rPr>
          <w:rFonts w:ascii="Times New Roman" w:hAnsi="Times New Roman"/>
          <w:noProof/>
          <w:color w:val="C00000"/>
          <w:sz w:val="24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B87F9D" wp14:editId="0D047A10">
            <wp:simplePos x="0" y="0"/>
            <wp:positionH relativeFrom="column">
              <wp:posOffset>872490</wp:posOffset>
            </wp:positionH>
            <wp:positionV relativeFrom="paragraph">
              <wp:posOffset>278765</wp:posOffset>
            </wp:positionV>
            <wp:extent cx="4343400" cy="22288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7173F6" w:rsidRDefault="007173F6" w:rsidP="00CD7425">
      <w:pPr>
        <w:pStyle w:val="af0"/>
        <w:keepNext/>
        <w:jc w:val="center"/>
        <w:rPr>
          <w:rFonts w:ascii="Times New Roman" w:hAnsi="Times New Roman"/>
          <w:color w:val="auto"/>
          <w:sz w:val="24"/>
          <w:szCs w:val="26"/>
        </w:rPr>
      </w:pPr>
    </w:p>
    <w:p w:rsidR="00692ACC" w:rsidRPr="000B37E0" w:rsidRDefault="00692ACC" w:rsidP="00692ACC">
      <w:pPr>
        <w:ind w:firstLine="709"/>
        <w:jc w:val="both"/>
        <w:rPr>
          <w:szCs w:val="26"/>
        </w:rPr>
      </w:pPr>
      <w:r w:rsidRPr="000B37E0">
        <w:rPr>
          <w:szCs w:val="26"/>
        </w:rPr>
        <w:t xml:space="preserve">С начала года на зарубежных рынках возрос интерес к российским товарам, в первую очередь на пищевую продукцию – макароны, потребительская продукция долгого хранения, средства индивидуальной защиты и дезинфекции, лекарства и их компоненты, другую медицинскую технику и оборудование для диагностики. Резко возросла потребность стран Латинской Америки, СНГ и Северной Африки в мобильных </w:t>
      </w:r>
      <w:proofErr w:type="spellStart"/>
      <w:r w:rsidRPr="000B37E0">
        <w:rPr>
          <w:szCs w:val="26"/>
        </w:rPr>
        <w:t>противоинфекционных</w:t>
      </w:r>
      <w:proofErr w:type="spellEnd"/>
      <w:r w:rsidRPr="000B37E0">
        <w:rPr>
          <w:szCs w:val="26"/>
        </w:rPr>
        <w:t xml:space="preserve"> отделениях модульного типа («</w:t>
      </w:r>
      <w:proofErr w:type="spellStart"/>
      <w:r w:rsidRPr="000B37E0">
        <w:rPr>
          <w:szCs w:val="26"/>
        </w:rPr>
        <w:t>Шумерлинский</w:t>
      </w:r>
      <w:proofErr w:type="spellEnd"/>
      <w:r w:rsidRPr="000B37E0">
        <w:rPr>
          <w:szCs w:val="26"/>
        </w:rPr>
        <w:t xml:space="preserve"> завод специализированных автомобилей»). </w:t>
      </w:r>
    </w:p>
    <w:p w:rsidR="00692ACC" w:rsidRPr="00692ACC" w:rsidRDefault="00692ACC" w:rsidP="00692ACC">
      <w:pPr>
        <w:ind w:firstLine="709"/>
        <w:jc w:val="both"/>
        <w:rPr>
          <w:szCs w:val="26"/>
        </w:rPr>
      </w:pPr>
      <w:r w:rsidRPr="000B37E0">
        <w:rPr>
          <w:szCs w:val="26"/>
        </w:rPr>
        <w:t xml:space="preserve">Также возросла потребность на химическую продукцию ПАО «Химпром» (изопропиловый спирт, перекись водорода, </w:t>
      </w:r>
      <w:proofErr w:type="spellStart"/>
      <w:r w:rsidRPr="000B37E0">
        <w:rPr>
          <w:szCs w:val="26"/>
        </w:rPr>
        <w:t>гипохолит</w:t>
      </w:r>
      <w:proofErr w:type="spellEnd"/>
      <w:r w:rsidRPr="000B37E0">
        <w:rPr>
          <w:szCs w:val="26"/>
        </w:rPr>
        <w:t xml:space="preserve"> кальция и натрия</w:t>
      </w:r>
      <w:r w:rsidR="007173F6">
        <w:rPr>
          <w:szCs w:val="26"/>
        </w:rPr>
        <w:t>).</w:t>
      </w:r>
    </w:p>
    <w:p w:rsidR="003A62E3" w:rsidRPr="008068AE" w:rsidRDefault="003A62E3">
      <w:pPr>
        <w:ind w:firstLine="709"/>
        <w:jc w:val="both"/>
        <w:rPr>
          <w:rFonts w:eastAsia="SimSun"/>
          <w:bCs/>
          <w:szCs w:val="26"/>
          <w:lang w:eastAsia="zh-CN"/>
        </w:rPr>
      </w:pPr>
    </w:p>
    <w:sectPr w:rsidR="003A62E3" w:rsidRPr="008068AE" w:rsidSect="0059609F">
      <w:headerReference w:type="default" r:id="rId11"/>
      <w:pgSz w:w="11906" w:h="16838"/>
      <w:pgMar w:top="1134" w:right="851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CB" w:rsidRDefault="00E370CB">
      <w:r>
        <w:separator/>
      </w:r>
    </w:p>
  </w:endnote>
  <w:endnote w:type="continuationSeparator" w:id="0">
    <w:p w:rsidR="00E370CB" w:rsidRDefault="00E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CB" w:rsidRDefault="00E370CB">
      <w:r>
        <w:separator/>
      </w:r>
    </w:p>
  </w:footnote>
  <w:footnote w:type="continuationSeparator" w:id="0">
    <w:p w:rsidR="00E370CB" w:rsidRDefault="00E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20561"/>
      <w:docPartObj>
        <w:docPartGallery w:val="Page Numbers (Top of Page)"/>
        <w:docPartUnique/>
      </w:docPartObj>
    </w:sdtPr>
    <w:sdtEndPr/>
    <w:sdtContent>
      <w:p w:rsidR="00E370CB" w:rsidRDefault="00E370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7A">
          <w:rPr>
            <w:noProof/>
          </w:rPr>
          <w:t>20</w:t>
        </w:r>
        <w:r>
          <w:fldChar w:fldCharType="end"/>
        </w:r>
      </w:p>
    </w:sdtContent>
  </w:sdt>
  <w:p w:rsidR="00E370CB" w:rsidRDefault="00E37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2"/>
    <w:rsid w:val="00002A24"/>
    <w:rsid w:val="00021473"/>
    <w:rsid w:val="0002753C"/>
    <w:rsid w:val="00030792"/>
    <w:rsid w:val="00042030"/>
    <w:rsid w:val="0005350B"/>
    <w:rsid w:val="00053A39"/>
    <w:rsid w:val="0005728C"/>
    <w:rsid w:val="00062B83"/>
    <w:rsid w:val="00073424"/>
    <w:rsid w:val="000735AF"/>
    <w:rsid w:val="0007620C"/>
    <w:rsid w:val="00080D9A"/>
    <w:rsid w:val="000837F8"/>
    <w:rsid w:val="00083E61"/>
    <w:rsid w:val="00086846"/>
    <w:rsid w:val="000A35B5"/>
    <w:rsid w:val="000A7924"/>
    <w:rsid w:val="000B37E0"/>
    <w:rsid w:val="000B5218"/>
    <w:rsid w:val="000C1812"/>
    <w:rsid w:val="000C1C74"/>
    <w:rsid w:val="000C278A"/>
    <w:rsid w:val="000E0C06"/>
    <w:rsid w:val="000E47D5"/>
    <w:rsid w:val="000F6A7D"/>
    <w:rsid w:val="00103A94"/>
    <w:rsid w:val="00117DE9"/>
    <w:rsid w:val="00121E9D"/>
    <w:rsid w:val="001236D9"/>
    <w:rsid w:val="0012451F"/>
    <w:rsid w:val="00130FF7"/>
    <w:rsid w:val="0013340E"/>
    <w:rsid w:val="00140975"/>
    <w:rsid w:val="0014258C"/>
    <w:rsid w:val="00156CB1"/>
    <w:rsid w:val="00156EFA"/>
    <w:rsid w:val="00165047"/>
    <w:rsid w:val="001665D9"/>
    <w:rsid w:val="001727D8"/>
    <w:rsid w:val="001807F0"/>
    <w:rsid w:val="00182565"/>
    <w:rsid w:val="001A4076"/>
    <w:rsid w:val="001B0937"/>
    <w:rsid w:val="001B3E49"/>
    <w:rsid w:val="001B4116"/>
    <w:rsid w:val="001B7D00"/>
    <w:rsid w:val="001C6B15"/>
    <w:rsid w:val="001D14F3"/>
    <w:rsid w:val="001D25DC"/>
    <w:rsid w:val="001D3556"/>
    <w:rsid w:val="001D7F70"/>
    <w:rsid w:val="001E02F6"/>
    <w:rsid w:val="001F1B35"/>
    <w:rsid w:val="00205972"/>
    <w:rsid w:val="00206D28"/>
    <w:rsid w:val="00231E7A"/>
    <w:rsid w:val="00233387"/>
    <w:rsid w:val="002443F8"/>
    <w:rsid w:val="00245C6C"/>
    <w:rsid w:val="002516AD"/>
    <w:rsid w:val="00252230"/>
    <w:rsid w:val="00254275"/>
    <w:rsid w:val="00254294"/>
    <w:rsid w:val="00256952"/>
    <w:rsid w:val="0026075B"/>
    <w:rsid w:val="00271E3F"/>
    <w:rsid w:val="00271FDD"/>
    <w:rsid w:val="00286C5A"/>
    <w:rsid w:val="00287328"/>
    <w:rsid w:val="002876F6"/>
    <w:rsid w:val="002922E7"/>
    <w:rsid w:val="00292C99"/>
    <w:rsid w:val="00296909"/>
    <w:rsid w:val="002A2BBE"/>
    <w:rsid w:val="002B0B89"/>
    <w:rsid w:val="002C1524"/>
    <w:rsid w:val="002C5B39"/>
    <w:rsid w:val="002C5CF7"/>
    <w:rsid w:val="002D5633"/>
    <w:rsid w:val="002D693A"/>
    <w:rsid w:val="002D75FB"/>
    <w:rsid w:val="002E35C3"/>
    <w:rsid w:val="002E4FCC"/>
    <w:rsid w:val="002F0490"/>
    <w:rsid w:val="002F2F87"/>
    <w:rsid w:val="002F3700"/>
    <w:rsid w:val="002F4652"/>
    <w:rsid w:val="0030003E"/>
    <w:rsid w:val="00304177"/>
    <w:rsid w:val="00312BB3"/>
    <w:rsid w:val="00312D10"/>
    <w:rsid w:val="003140CB"/>
    <w:rsid w:val="00323382"/>
    <w:rsid w:val="00333F4F"/>
    <w:rsid w:val="00360AEF"/>
    <w:rsid w:val="003617BE"/>
    <w:rsid w:val="0036285C"/>
    <w:rsid w:val="00362D83"/>
    <w:rsid w:val="003742EF"/>
    <w:rsid w:val="00374CE0"/>
    <w:rsid w:val="003750ED"/>
    <w:rsid w:val="003846D3"/>
    <w:rsid w:val="00395BCB"/>
    <w:rsid w:val="003A2B8C"/>
    <w:rsid w:val="003A62E3"/>
    <w:rsid w:val="003B1636"/>
    <w:rsid w:val="003B1B84"/>
    <w:rsid w:val="003B6480"/>
    <w:rsid w:val="003D38FD"/>
    <w:rsid w:val="003E1D9E"/>
    <w:rsid w:val="003E6721"/>
    <w:rsid w:val="003E6AD0"/>
    <w:rsid w:val="003F3DE0"/>
    <w:rsid w:val="003F4BBE"/>
    <w:rsid w:val="0040134B"/>
    <w:rsid w:val="0040306A"/>
    <w:rsid w:val="004037E1"/>
    <w:rsid w:val="0040432A"/>
    <w:rsid w:val="00414DC0"/>
    <w:rsid w:val="00414FF8"/>
    <w:rsid w:val="0041553F"/>
    <w:rsid w:val="00424B35"/>
    <w:rsid w:val="00431651"/>
    <w:rsid w:val="00434A76"/>
    <w:rsid w:val="00447707"/>
    <w:rsid w:val="004650BA"/>
    <w:rsid w:val="00465D07"/>
    <w:rsid w:val="00467EF7"/>
    <w:rsid w:val="00486493"/>
    <w:rsid w:val="00490385"/>
    <w:rsid w:val="00495879"/>
    <w:rsid w:val="00497888"/>
    <w:rsid w:val="004A14FD"/>
    <w:rsid w:val="004A72EE"/>
    <w:rsid w:val="004B2799"/>
    <w:rsid w:val="004C3FC9"/>
    <w:rsid w:val="004D7CC3"/>
    <w:rsid w:val="004F4A35"/>
    <w:rsid w:val="004F553C"/>
    <w:rsid w:val="00501CE6"/>
    <w:rsid w:val="00513E6A"/>
    <w:rsid w:val="00514D29"/>
    <w:rsid w:val="0053115C"/>
    <w:rsid w:val="00533613"/>
    <w:rsid w:val="0054542F"/>
    <w:rsid w:val="00560A6D"/>
    <w:rsid w:val="0056157E"/>
    <w:rsid w:val="005715CD"/>
    <w:rsid w:val="005729E9"/>
    <w:rsid w:val="00573157"/>
    <w:rsid w:val="00581FB5"/>
    <w:rsid w:val="00595BF0"/>
    <w:rsid w:val="0059609F"/>
    <w:rsid w:val="00597DEB"/>
    <w:rsid w:val="005C0A8A"/>
    <w:rsid w:val="005D2474"/>
    <w:rsid w:val="005D7555"/>
    <w:rsid w:val="005E24FE"/>
    <w:rsid w:val="005F093D"/>
    <w:rsid w:val="005F761D"/>
    <w:rsid w:val="006013A8"/>
    <w:rsid w:val="00604985"/>
    <w:rsid w:val="00611BF2"/>
    <w:rsid w:val="00620932"/>
    <w:rsid w:val="00620CBB"/>
    <w:rsid w:val="006222FD"/>
    <w:rsid w:val="00632AEC"/>
    <w:rsid w:val="00634467"/>
    <w:rsid w:val="00636EE3"/>
    <w:rsid w:val="0064667F"/>
    <w:rsid w:val="00647075"/>
    <w:rsid w:val="00651CCD"/>
    <w:rsid w:val="0065522B"/>
    <w:rsid w:val="00660FAC"/>
    <w:rsid w:val="00662837"/>
    <w:rsid w:val="006653A6"/>
    <w:rsid w:val="00667E53"/>
    <w:rsid w:val="00671DD1"/>
    <w:rsid w:val="00673652"/>
    <w:rsid w:val="006852C1"/>
    <w:rsid w:val="00692ACC"/>
    <w:rsid w:val="00697DFF"/>
    <w:rsid w:val="006A3F59"/>
    <w:rsid w:val="006A4377"/>
    <w:rsid w:val="006A49E1"/>
    <w:rsid w:val="006A60C5"/>
    <w:rsid w:val="006B1026"/>
    <w:rsid w:val="006C0359"/>
    <w:rsid w:val="006C0DC2"/>
    <w:rsid w:val="006C4803"/>
    <w:rsid w:val="006D2138"/>
    <w:rsid w:val="006D45E4"/>
    <w:rsid w:val="006E4F07"/>
    <w:rsid w:val="006E6F75"/>
    <w:rsid w:val="006E75A6"/>
    <w:rsid w:val="006E7BDA"/>
    <w:rsid w:val="006F20C9"/>
    <w:rsid w:val="00705846"/>
    <w:rsid w:val="00710BBE"/>
    <w:rsid w:val="007173F6"/>
    <w:rsid w:val="00721B0C"/>
    <w:rsid w:val="007220AA"/>
    <w:rsid w:val="00722AFF"/>
    <w:rsid w:val="007230A2"/>
    <w:rsid w:val="00726047"/>
    <w:rsid w:val="00726CA0"/>
    <w:rsid w:val="00745A40"/>
    <w:rsid w:val="0075102D"/>
    <w:rsid w:val="00751B0A"/>
    <w:rsid w:val="0075288B"/>
    <w:rsid w:val="007541F2"/>
    <w:rsid w:val="007604A1"/>
    <w:rsid w:val="00760BC4"/>
    <w:rsid w:val="007638DA"/>
    <w:rsid w:val="00774298"/>
    <w:rsid w:val="0078254A"/>
    <w:rsid w:val="00791E2C"/>
    <w:rsid w:val="007A3A80"/>
    <w:rsid w:val="007B112B"/>
    <w:rsid w:val="007D4FED"/>
    <w:rsid w:val="007D635C"/>
    <w:rsid w:val="007E54BD"/>
    <w:rsid w:val="007F7EF9"/>
    <w:rsid w:val="00802625"/>
    <w:rsid w:val="00802DCC"/>
    <w:rsid w:val="00804347"/>
    <w:rsid w:val="008068AE"/>
    <w:rsid w:val="0080783E"/>
    <w:rsid w:val="0081295D"/>
    <w:rsid w:val="00815029"/>
    <w:rsid w:val="00815233"/>
    <w:rsid w:val="00822F61"/>
    <w:rsid w:val="00823EC0"/>
    <w:rsid w:val="008275F5"/>
    <w:rsid w:val="00832757"/>
    <w:rsid w:val="0084043D"/>
    <w:rsid w:val="00842D9D"/>
    <w:rsid w:val="008432D4"/>
    <w:rsid w:val="00843A57"/>
    <w:rsid w:val="008456C4"/>
    <w:rsid w:val="00852013"/>
    <w:rsid w:val="00855912"/>
    <w:rsid w:val="00861FEF"/>
    <w:rsid w:val="0086706A"/>
    <w:rsid w:val="0087186C"/>
    <w:rsid w:val="00871C99"/>
    <w:rsid w:val="00874CC9"/>
    <w:rsid w:val="008756E6"/>
    <w:rsid w:val="00884D07"/>
    <w:rsid w:val="008A7D9E"/>
    <w:rsid w:val="008B39D9"/>
    <w:rsid w:val="008E33E2"/>
    <w:rsid w:val="008E6F49"/>
    <w:rsid w:val="008F70C0"/>
    <w:rsid w:val="00903019"/>
    <w:rsid w:val="00903F06"/>
    <w:rsid w:val="0090770E"/>
    <w:rsid w:val="00910992"/>
    <w:rsid w:val="00910EF9"/>
    <w:rsid w:val="0092561B"/>
    <w:rsid w:val="00927A50"/>
    <w:rsid w:val="0093077F"/>
    <w:rsid w:val="00934246"/>
    <w:rsid w:val="009368DE"/>
    <w:rsid w:val="009371B9"/>
    <w:rsid w:val="00961D53"/>
    <w:rsid w:val="009637F8"/>
    <w:rsid w:val="00967088"/>
    <w:rsid w:val="00967C7E"/>
    <w:rsid w:val="009713AD"/>
    <w:rsid w:val="00972740"/>
    <w:rsid w:val="00972BB8"/>
    <w:rsid w:val="00972BC4"/>
    <w:rsid w:val="00982BD0"/>
    <w:rsid w:val="00992988"/>
    <w:rsid w:val="00995F2E"/>
    <w:rsid w:val="009A17E8"/>
    <w:rsid w:val="009B2EA1"/>
    <w:rsid w:val="009B7515"/>
    <w:rsid w:val="009C0FAC"/>
    <w:rsid w:val="009C1BA9"/>
    <w:rsid w:val="009C2A22"/>
    <w:rsid w:val="009E2727"/>
    <w:rsid w:val="009E31B1"/>
    <w:rsid w:val="009E377C"/>
    <w:rsid w:val="009E50A6"/>
    <w:rsid w:val="009F6F10"/>
    <w:rsid w:val="00A02E88"/>
    <w:rsid w:val="00A160BC"/>
    <w:rsid w:val="00A2606C"/>
    <w:rsid w:val="00A312CD"/>
    <w:rsid w:val="00A31579"/>
    <w:rsid w:val="00A361CE"/>
    <w:rsid w:val="00A37552"/>
    <w:rsid w:val="00A41773"/>
    <w:rsid w:val="00A4393C"/>
    <w:rsid w:val="00A513D3"/>
    <w:rsid w:val="00A63FDA"/>
    <w:rsid w:val="00A7024C"/>
    <w:rsid w:val="00A82544"/>
    <w:rsid w:val="00A844A7"/>
    <w:rsid w:val="00A90816"/>
    <w:rsid w:val="00A9706C"/>
    <w:rsid w:val="00AA110E"/>
    <w:rsid w:val="00AA3C17"/>
    <w:rsid w:val="00AA4A11"/>
    <w:rsid w:val="00AA4B45"/>
    <w:rsid w:val="00AA5D39"/>
    <w:rsid w:val="00AD7507"/>
    <w:rsid w:val="00AF030D"/>
    <w:rsid w:val="00AF2E5D"/>
    <w:rsid w:val="00AF612C"/>
    <w:rsid w:val="00B04E48"/>
    <w:rsid w:val="00B05AAA"/>
    <w:rsid w:val="00B14F39"/>
    <w:rsid w:val="00B20174"/>
    <w:rsid w:val="00B2544C"/>
    <w:rsid w:val="00B3684D"/>
    <w:rsid w:val="00B4668E"/>
    <w:rsid w:val="00B519D1"/>
    <w:rsid w:val="00B5272A"/>
    <w:rsid w:val="00B54132"/>
    <w:rsid w:val="00B550A7"/>
    <w:rsid w:val="00B5660B"/>
    <w:rsid w:val="00B70284"/>
    <w:rsid w:val="00B74A6E"/>
    <w:rsid w:val="00B75ED5"/>
    <w:rsid w:val="00B840B0"/>
    <w:rsid w:val="00B927EE"/>
    <w:rsid w:val="00B96992"/>
    <w:rsid w:val="00BA1D99"/>
    <w:rsid w:val="00BB3F78"/>
    <w:rsid w:val="00BC6486"/>
    <w:rsid w:val="00BD0014"/>
    <w:rsid w:val="00BD0289"/>
    <w:rsid w:val="00BD0C6D"/>
    <w:rsid w:val="00BD280F"/>
    <w:rsid w:val="00BF50B5"/>
    <w:rsid w:val="00C0531E"/>
    <w:rsid w:val="00C064E9"/>
    <w:rsid w:val="00C072C4"/>
    <w:rsid w:val="00C1008C"/>
    <w:rsid w:val="00C14F00"/>
    <w:rsid w:val="00C222BA"/>
    <w:rsid w:val="00C24A81"/>
    <w:rsid w:val="00C329A6"/>
    <w:rsid w:val="00C36D44"/>
    <w:rsid w:val="00C42434"/>
    <w:rsid w:val="00C472F5"/>
    <w:rsid w:val="00C55EEC"/>
    <w:rsid w:val="00C63632"/>
    <w:rsid w:val="00C64B32"/>
    <w:rsid w:val="00C7247E"/>
    <w:rsid w:val="00C74442"/>
    <w:rsid w:val="00C81A19"/>
    <w:rsid w:val="00C834E6"/>
    <w:rsid w:val="00CA274D"/>
    <w:rsid w:val="00CA6A90"/>
    <w:rsid w:val="00CA6B5C"/>
    <w:rsid w:val="00CB197B"/>
    <w:rsid w:val="00CB2B3D"/>
    <w:rsid w:val="00CD29AD"/>
    <w:rsid w:val="00CD7425"/>
    <w:rsid w:val="00CD7F3A"/>
    <w:rsid w:val="00CE0BF3"/>
    <w:rsid w:val="00CE44C3"/>
    <w:rsid w:val="00CE4CE4"/>
    <w:rsid w:val="00CF29AF"/>
    <w:rsid w:val="00CF65C9"/>
    <w:rsid w:val="00D10FA3"/>
    <w:rsid w:val="00D14001"/>
    <w:rsid w:val="00D20269"/>
    <w:rsid w:val="00D32CD2"/>
    <w:rsid w:val="00D42A65"/>
    <w:rsid w:val="00D42B78"/>
    <w:rsid w:val="00D5682C"/>
    <w:rsid w:val="00D61857"/>
    <w:rsid w:val="00D72C45"/>
    <w:rsid w:val="00D81DD6"/>
    <w:rsid w:val="00D84004"/>
    <w:rsid w:val="00D94237"/>
    <w:rsid w:val="00DA5D43"/>
    <w:rsid w:val="00DB2E12"/>
    <w:rsid w:val="00DB7603"/>
    <w:rsid w:val="00DC4B65"/>
    <w:rsid w:val="00DC71A5"/>
    <w:rsid w:val="00DD0100"/>
    <w:rsid w:val="00DD3342"/>
    <w:rsid w:val="00DD38FD"/>
    <w:rsid w:val="00DE2086"/>
    <w:rsid w:val="00DE38C6"/>
    <w:rsid w:val="00DF4928"/>
    <w:rsid w:val="00DF4FD3"/>
    <w:rsid w:val="00E029D1"/>
    <w:rsid w:val="00E02BDA"/>
    <w:rsid w:val="00E13C82"/>
    <w:rsid w:val="00E33846"/>
    <w:rsid w:val="00E370CB"/>
    <w:rsid w:val="00E379AF"/>
    <w:rsid w:val="00E415D4"/>
    <w:rsid w:val="00E42D9D"/>
    <w:rsid w:val="00E459F5"/>
    <w:rsid w:val="00E46C02"/>
    <w:rsid w:val="00E474CA"/>
    <w:rsid w:val="00E610FE"/>
    <w:rsid w:val="00E62F42"/>
    <w:rsid w:val="00E64EFE"/>
    <w:rsid w:val="00E716ED"/>
    <w:rsid w:val="00E75442"/>
    <w:rsid w:val="00E81526"/>
    <w:rsid w:val="00E92534"/>
    <w:rsid w:val="00E937D5"/>
    <w:rsid w:val="00E959AD"/>
    <w:rsid w:val="00EA2605"/>
    <w:rsid w:val="00EC0724"/>
    <w:rsid w:val="00EC1C28"/>
    <w:rsid w:val="00EC5C45"/>
    <w:rsid w:val="00ED2DA3"/>
    <w:rsid w:val="00ED70D0"/>
    <w:rsid w:val="00ED79E8"/>
    <w:rsid w:val="00EE3EB4"/>
    <w:rsid w:val="00EF10EC"/>
    <w:rsid w:val="00EF1CF2"/>
    <w:rsid w:val="00EF49A6"/>
    <w:rsid w:val="00EF6288"/>
    <w:rsid w:val="00EF729F"/>
    <w:rsid w:val="00EF7506"/>
    <w:rsid w:val="00EF7E84"/>
    <w:rsid w:val="00F01E56"/>
    <w:rsid w:val="00F02657"/>
    <w:rsid w:val="00F04150"/>
    <w:rsid w:val="00F04770"/>
    <w:rsid w:val="00F05E9C"/>
    <w:rsid w:val="00F13005"/>
    <w:rsid w:val="00F15BD0"/>
    <w:rsid w:val="00F230B4"/>
    <w:rsid w:val="00F32463"/>
    <w:rsid w:val="00F3309F"/>
    <w:rsid w:val="00F33D26"/>
    <w:rsid w:val="00F3464B"/>
    <w:rsid w:val="00F402FD"/>
    <w:rsid w:val="00F42658"/>
    <w:rsid w:val="00F542F4"/>
    <w:rsid w:val="00F56CE3"/>
    <w:rsid w:val="00F679FA"/>
    <w:rsid w:val="00F74B33"/>
    <w:rsid w:val="00F77B59"/>
    <w:rsid w:val="00FA2160"/>
    <w:rsid w:val="00FB5FAA"/>
    <w:rsid w:val="00FB7E3C"/>
    <w:rsid w:val="00FC09BF"/>
    <w:rsid w:val="00FD40FA"/>
    <w:rsid w:val="00FE026A"/>
    <w:rsid w:val="00FE23B2"/>
    <w:rsid w:val="00FE7EB5"/>
    <w:rsid w:val="00FF1620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uiPriority w:val="59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link w:val="a7"/>
    <w:uiPriority w:val="99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Title"/>
    <w:basedOn w:val="a"/>
    <w:link w:val="af"/>
    <w:qFormat/>
    <w:rsid w:val="00F56CE3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F56CE3"/>
    <w:rPr>
      <w:b/>
      <w:bCs/>
      <w:sz w:val="24"/>
      <w:szCs w:val="24"/>
    </w:rPr>
  </w:style>
  <w:style w:type="paragraph" w:customStyle="1" w:styleId="ConsNormal">
    <w:name w:val="ConsNormal"/>
    <w:link w:val="ConsNormal0"/>
    <w:rsid w:val="00F56CE3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character" w:customStyle="1" w:styleId="ConsNormal0">
    <w:name w:val="ConsNormal Знак"/>
    <w:link w:val="ConsNormal"/>
    <w:locked/>
    <w:rsid w:val="00F56CE3"/>
    <w:rPr>
      <w:rFonts w:ascii="Arial" w:hAnsi="Arial"/>
      <w:sz w:val="22"/>
      <w:szCs w:val="22"/>
      <w:lang w:eastAsia="zh-CN"/>
    </w:rPr>
  </w:style>
  <w:style w:type="paragraph" w:styleId="af0">
    <w:name w:val="caption"/>
    <w:basedOn w:val="a"/>
    <w:next w:val="a"/>
    <w:uiPriority w:val="35"/>
    <w:unhideWhenUsed/>
    <w:qFormat/>
    <w:rsid w:val="001236D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20">
    <w:name w:val="Body Text Indent 2"/>
    <w:basedOn w:val="a"/>
    <w:link w:val="21"/>
    <w:rsid w:val="001236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236D9"/>
    <w:rPr>
      <w:sz w:val="24"/>
      <w:szCs w:val="24"/>
    </w:rPr>
  </w:style>
  <w:style w:type="paragraph" w:customStyle="1" w:styleId="af1">
    <w:name w:val="Таблица Значения"/>
    <w:basedOn w:val="a"/>
    <w:rsid w:val="001236D9"/>
    <w:pPr>
      <w:spacing w:before="60" w:line="192" w:lineRule="auto"/>
      <w:jc w:val="right"/>
    </w:pPr>
    <w:rPr>
      <w:sz w:val="22"/>
      <w:szCs w:val="20"/>
    </w:rPr>
  </w:style>
  <w:style w:type="paragraph" w:customStyle="1" w:styleId="af2">
    <w:name w:val="Таблица Боковик"/>
    <w:basedOn w:val="af1"/>
    <w:rsid w:val="001236D9"/>
    <w:pPr>
      <w:ind w:left="142" w:hanging="142"/>
      <w:jc w:val="left"/>
    </w:pPr>
  </w:style>
  <w:style w:type="paragraph" w:customStyle="1" w:styleId="af3">
    <w:name w:val="Таблица Шапка"/>
    <w:basedOn w:val="af1"/>
    <w:rsid w:val="001236D9"/>
    <w:pPr>
      <w:spacing w:before="80" w:after="80"/>
      <w:jc w:val="center"/>
    </w:pPr>
    <w:rPr>
      <w:i/>
    </w:rPr>
  </w:style>
  <w:style w:type="character" w:customStyle="1" w:styleId="a7">
    <w:name w:val="Верхний колонтитул Знак"/>
    <w:basedOn w:val="a0"/>
    <w:link w:val="a6"/>
    <w:uiPriority w:val="99"/>
    <w:rsid w:val="0078254A"/>
    <w:rPr>
      <w:sz w:val="24"/>
      <w:szCs w:val="24"/>
    </w:rPr>
  </w:style>
  <w:style w:type="paragraph" w:styleId="af4">
    <w:name w:val="List Paragraph"/>
    <w:basedOn w:val="a"/>
    <w:uiPriority w:val="34"/>
    <w:qFormat/>
    <w:rsid w:val="003A2B8C"/>
    <w:pPr>
      <w:ind w:left="720"/>
      <w:contextualSpacing/>
    </w:pPr>
  </w:style>
  <w:style w:type="paragraph" w:styleId="af5">
    <w:name w:val="Normal (Web)"/>
    <w:basedOn w:val="a"/>
    <w:link w:val="af6"/>
    <w:uiPriority w:val="99"/>
    <w:rsid w:val="003A2B8C"/>
    <w:pPr>
      <w:spacing w:before="100" w:beforeAutospacing="1" w:after="100" w:afterAutospacing="1"/>
    </w:pPr>
  </w:style>
  <w:style w:type="paragraph" w:customStyle="1" w:styleId="introduction">
    <w:name w:val="introduction"/>
    <w:basedOn w:val="a"/>
    <w:rsid w:val="00BA1D99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A1D99"/>
    <w:rPr>
      <w:b/>
      <w:bCs/>
    </w:rPr>
  </w:style>
  <w:style w:type="character" w:customStyle="1" w:styleId="af6">
    <w:name w:val="Обычный (веб) Знак"/>
    <w:link w:val="af5"/>
    <w:uiPriority w:val="99"/>
    <w:locked/>
    <w:rsid w:val="00C55E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uiPriority w:val="59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link w:val="a7"/>
    <w:uiPriority w:val="99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Title"/>
    <w:basedOn w:val="a"/>
    <w:link w:val="af"/>
    <w:qFormat/>
    <w:rsid w:val="00F56CE3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F56CE3"/>
    <w:rPr>
      <w:b/>
      <w:bCs/>
      <w:sz w:val="24"/>
      <w:szCs w:val="24"/>
    </w:rPr>
  </w:style>
  <w:style w:type="paragraph" w:customStyle="1" w:styleId="ConsNormal">
    <w:name w:val="ConsNormal"/>
    <w:link w:val="ConsNormal0"/>
    <w:rsid w:val="00F56CE3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character" w:customStyle="1" w:styleId="ConsNormal0">
    <w:name w:val="ConsNormal Знак"/>
    <w:link w:val="ConsNormal"/>
    <w:locked/>
    <w:rsid w:val="00F56CE3"/>
    <w:rPr>
      <w:rFonts w:ascii="Arial" w:hAnsi="Arial"/>
      <w:sz w:val="22"/>
      <w:szCs w:val="22"/>
      <w:lang w:eastAsia="zh-CN"/>
    </w:rPr>
  </w:style>
  <w:style w:type="paragraph" w:styleId="af0">
    <w:name w:val="caption"/>
    <w:basedOn w:val="a"/>
    <w:next w:val="a"/>
    <w:uiPriority w:val="35"/>
    <w:unhideWhenUsed/>
    <w:qFormat/>
    <w:rsid w:val="001236D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20">
    <w:name w:val="Body Text Indent 2"/>
    <w:basedOn w:val="a"/>
    <w:link w:val="21"/>
    <w:rsid w:val="001236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236D9"/>
    <w:rPr>
      <w:sz w:val="24"/>
      <w:szCs w:val="24"/>
    </w:rPr>
  </w:style>
  <w:style w:type="paragraph" w:customStyle="1" w:styleId="af1">
    <w:name w:val="Таблица Значения"/>
    <w:basedOn w:val="a"/>
    <w:rsid w:val="001236D9"/>
    <w:pPr>
      <w:spacing w:before="60" w:line="192" w:lineRule="auto"/>
      <w:jc w:val="right"/>
    </w:pPr>
    <w:rPr>
      <w:sz w:val="22"/>
      <w:szCs w:val="20"/>
    </w:rPr>
  </w:style>
  <w:style w:type="paragraph" w:customStyle="1" w:styleId="af2">
    <w:name w:val="Таблица Боковик"/>
    <w:basedOn w:val="af1"/>
    <w:rsid w:val="001236D9"/>
    <w:pPr>
      <w:ind w:left="142" w:hanging="142"/>
      <w:jc w:val="left"/>
    </w:pPr>
  </w:style>
  <w:style w:type="paragraph" w:customStyle="1" w:styleId="af3">
    <w:name w:val="Таблица Шапка"/>
    <w:basedOn w:val="af1"/>
    <w:rsid w:val="001236D9"/>
    <w:pPr>
      <w:spacing w:before="80" w:after="80"/>
      <w:jc w:val="center"/>
    </w:pPr>
    <w:rPr>
      <w:i/>
    </w:rPr>
  </w:style>
  <w:style w:type="character" w:customStyle="1" w:styleId="a7">
    <w:name w:val="Верхний колонтитул Знак"/>
    <w:basedOn w:val="a0"/>
    <w:link w:val="a6"/>
    <w:uiPriority w:val="99"/>
    <w:rsid w:val="0078254A"/>
    <w:rPr>
      <w:sz w:val="24"/>
      <w:szCs w:val="24"/>
    </w:rPr>
  </w:style>
  <w:style w:type="paragraph" w:styleId="af4">
    <w:name w:val="List Paragraph"/>
    <w:basedOn w:val="a"/>
    <w:uiPriority w:val="34"/>
    <w:qFormat/>
    <w:rsid w:val="003A2B8C"/>
    <w:pPr>
      <w:ind w:left="720"/>
      <w:contextualSpacing/>
    </w:pPr>
  </w:style>
  <w:style w:type="paragraph" w:styleId="af5">
    <w:name w:val="Normal (Web)"/>
    <w:basedOn w:val="a"/>
    <w:link w:val="af6"/>
    <w:uiPriority w:val="99"/>
    <w:rsid w:val="003A2B8C"/>
    <w:pPr>
      <w:spacing w:before="100" w:beforeAutospacing="1" w:after="100" w:afterAutospacing="1"/>
    </w:pPr>
  </w:style>
  <w:style w:type="paragraph" w:customStyle="1" w:styleId="introduction">
    <w:name w:val="introduction"/>
    <w:basedOn w:val="a"/>
    <w:rsid w:val="00BA1D99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A1D99"/>
    <w:rPr>
      <w:b/>
      <w:bCs/>
    </w:rPr>
  </w:style>
  <w:style w:type="character" w:customStyle="1" w:styleId="af6">
    <w:name w:val="Обычный (веб) Знак"/>
    <w:link w:val="af5"/>
    <w:uiPriority w:val="99"/>
    <w:locked/>
    <w:rsid w:val="00C55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4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  <w:div w:id="248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  <w:div w:id="1546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p-home.cap.ru\home\ECONOMY\1%20&#1056;&#1072;&#1073;&#1086;&#1095;&#1080;&#1077;%20&#1087;&#1072;&#1087;&#1082;&#1080;%20ECONOMY%20&#1089;&#1086;&#1090;&#1088;&#1091;&#1076;&#1085;&#1080;&#1082;&#1086;&#1074;\economy45\&#1048;&#1088;&#1080;&#1085;&#1072;\&#1042;&#1069;&#1044;\&#1103;&#1085;&#1074;&#1072;&#1088;&#1100;-&#1085;&#1086;&#1103;&#1073;&#1088;&#1100;%202020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Экспорт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Казахстан</c:v>
                </c:pt>
                <c:pt idx="1">
                  <c:v>Беларусь</c:v>
                </c:pt>
                <c:pt idx="2">
                  <c:v>Китай</c:v>
                </c:pt>
                <c:pt idx="3">
                  <c:v>Узбекистан</c:v>
                </c:pt>
                <c:pt idx="4">
                  <c:v>Индия</c:v>
                </c:pt>
                <c:pt idx="5">
                  <c:v>Германия</c:v>
                </c:pt>
                <c:pt idx="6">
                  <c:v>Япония</c:v>
                </c:pt>
                <c:pt idx="7">
                  <c:v>Италия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85.6</c:v>
                </c:pt>
                <c:pt idx="1">
                  <c:v>39.1</c:v>
                </c:pt>
                <c:pt idx="2">
                  <c:v>21</c:v>
                </c:pt>
                <c:pt idx="3">
                  <c:v>12.8</c:v>
                </c:pt>
                <c:pt idx="4">
                  <c:v>10.199999999999999</c:v>
                </c:pt>
                <c:pt idx="5">
                  <c:v>3.4</c:v>
                </c:pt>
                <c:pt idx="6">
                  <c:v>0.02</c:v>
                </c:pt>
                <c:pt idx="7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Казахстан</c:v>
                </c:pt>
                <c:pt idx="1">
                  <c:v>Беларусь</c:v>
                </c:pt>
                <c:pt idx="2">
                  <c:v>Китай</c:v>
                </c:pt>
                <c:pt idx="3">
                  <c:v>Узбекистан</c:v>
                </c:pt>
                <c:pt idx="4">
                  <c:v>Индия</c:v>
                </c:pt>
                <c:pt idx="5">
                  <c:v>Германия</c:v>
                </c:pt>
                <c:pt idx="6">
                  <c:v>Япония</c:v>
                </c:pt>
                <c:pt idx="7">
                  <c:v>Италия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0.2</c:v>
                </c:pt>
                <c:pt idx="1">
                  <c:v>40.5</c:v>
                </c:pt>
                <c:pt idx="2">
                  <c:v>132</c:v>
                </c:pt>
                <c:pt idx="3">
                  <c:v>0.2</c:v>
                </c:pt>
                <c:pt idx="4">
                  <c:v>6.1</c:v>
                </c:pt>
                <c:pt idx="5">
                  <c:v>14.6</c:v>
                </c:pt>
                <c:pt idx="6">
                  <c:v>11.1</c:v>
                </c:pt>
                <c:pt idx="7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43008"/>
        <c:axId val="112930752"/>
      </c:barChart>
      <c:catAx>
        <c:axId val="107243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540000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930752"/>
        <c:crosses val="autoZero"/>
        <c:auto val="1"/>
        <c:lblAlgn val="ctr"/>
        <c:lblOffset val="100"/>
        <c:noMultiLvlLbl val="0"/>
      </c:catAx>
      <c:valAx>
        <c:axId val="1129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2430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 algn="ctr" rtl="0">
              <a:defRPr lang="ru-RU" sz="1400" b="1" kern="1200" dirty="0">
                <a:solidFill>
                  <a:schemeClr val="tx1"/>
                </a:solidFill>
                <a:latin typeface="Times New Roman" pitchFamily="18" charset="0"/>
                <a:ea typeface="Segoe UI Black" panose="020B0A02040204020203" pitchFamily="34" charset="0"/>
                <a:cs typeface="Times New Roman" pitchFamily="18" charset="0"/>
              </a:defRPr>
            </a:pPr>
            <a:r>
              <a:rPr lang="ru-RU" sz="1400" b="1" kern="1200" dirty="0" smtClean="0">
                <a:solidFill>
                  <a:schemeClr val="tx1"/>
                </a:solidFill>
                <a:latin typeface="Times New Roman" pitchFamily="18" charset="0"/>
                <a:ea typeface="Segoe UI Black" panose="020B0A02040204020203" pitchFamily="34" charset="0"/>
                <a:cs typeface="Times New Roman" pitchFamily="18" charset="0"/>
              </a:rPr>
              <a:t>ТОВАРНАЯ СТРУКТУРА ЭКСПОРТА</a:t>
            </a:r>
          </a:p>
        </c:rich>
      </c:tx>
      <c:layout>
        <c:manualLayout>
          <c:xMode val="edge"/>
          <c:yMode val="edge"/>
          <c:x val="0.15648297750285156"/>
          <c:y val="5.19865470510027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85926478892111"/>
          <c:y val="0.26317976087277845"/>
          <c:w val="0.35884923483304138"/>
          <c:h val="0.68083819091900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1"/>
            <c:explosion val="0"/>
            <c:spPr>
              <a:solidFill>
                <a:srgbClr val="FF7C80"/>
              </a:solidFill>
            </c:spPr>
          </c:dPt>
          <c:dPt>
            <c:idx val="2"/>
            <c:bubble3D val="1"/>
            <c:explosion val="5"/>
            <c:spPr>
              <a:solidFill>
                <a:srgbClr val="DA928E"/>
              </a:solidFill>
            </c:spPr>
          </c:dPt>
          <c:dPt>
            <c:idx val="3"/>
            <c:bubble3D val="1"/>
            <c:explosion val="0"/>
            <c:spPr>
              <a:solidFill>
                <a:srgbClr val="FFCCCC"/>
              </a:solidFill>
            </c:spPr>
          </c:dPt>
          <c:dLbls>
            <c:dLbl>
              <c:idx val="0"/>
              <c:layout>
                <c:manualLayout>
                  <c:x val="1.4436056434730329E-2"/>
                  <c:y val="0.215150227990358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646002509174075E-2"/>
                  <c:y val="-0.151007730876003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008873008014314"/>
                  <c:y val="-0.13651414117118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Продукция химической промышленности</c:v>
                </c:pt>
                <c:pt idx="1">
                  <c:v>Машиностроительная продукция</c:v>
                </c:pt>
                <c:pt idx="2">
                  <c:v>Продовольственные товары и сырье</c:v>
                </c:pt>
                <c:pt idx="3">
                  <c:v>Прочие товары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0.39500000000000002</c:v>
                </c:pt>
                <c:pt idx="1">
                  <c:v>0.35099999999999998</c:v>
                </c:pt>
                <c:pt idx="2">
                  <c:v>0.14899999999999999</c:v>
                </c:pt>
                <c:pt idx="3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87"/>
      </c:pieChart>
    </c:plotArea>
    <c:legend>
      <c:legendPos val="r"/>
      <c:layout>
        <c:manualLayout>
          <c:xMode val="edge"/>
          <c:yMode val="edge"/>
          <c:x val="0.56771032421060519"/>
          <c:y val="0.24995306139569443"/>
          <c:w val="0.39814814814814814"/>
          <c:h val="0.7026277739615768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algn="ctr" rtl="0">
              <a:defRPr lang="ru-RU" sz="1400" b="1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Segoe UI Black" panose="020B0A02040204020203" pitchFamily="34" charset="0"/>
                <a:cs typeface="Times New Roman" pitchFamily="18" charset="0"/>
              </a:defRPr>
            </a:pPr>
            <a:r>
              <a:rPr lang="ru-RU" sz="1400" b="1" i="0" u="none" strike="noStrike" kern="1200" baseline="0" dirty="0" smtClean="0">
                <a:solidFill>
                  <a:schemeClr val="tx1"/>
                </a:solidFill>
                <a:latin typeface="Times New Roman" pitchFamily="18" charset="0"/>
                <a:ea typeface="Segoe UI Black" panose="020B0A02040204020203" pitchFamily="34" charset="0"/>
                <a:cs typeface="Times New Roman" pitchFamily="18" charset="0"/>
              </a:rPr>
              <a:t>ТОВАРНАЯ СТРУКТУРА ИМПОРТА</a:t>
            </a:r>
          </a:p>
        </c:rich>
      </c:tx>
      <c:layout>
        <c:manualLayout>
          <c:xMode val="edge"/>
          <c:yMode val="edge"/>
          <c:x val="0.15975381439723327"/>
          <c:y val="3.76602971905186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1051819759444675E-2"/>
          <c:y val="0.28217831140296668"/>
          <c:w val="0.45856458526598637"/>
          <c:h val="0.667036979411290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1"/>
            <c:explosion val="0"/>
            <c:spPr>
              <a:solidFill>
                <a:srgbClr val="FF7C80"/>
              </a:solidFill>
            </c:spPr>
          </c:dPt>
          <c:dPt>
            <c:idx val="2"/>
            <c:bubble3D val="1"/>
            <c:explosion val="5"/>
            <c:spPr>
              <a:solidFill>
                <a:srgbClr val="DA928E"/>
              </a:solidFill>
            </c:spPr>
          </c:dPt>
          <c:dPt>
            <c:idx val="3"/>
            <c:bubble3D val="1"/>
            <c:explosion val="0"/>
            <c:spPr>
              <a:solidFill>
                <a:srgbClr val="FFCCCC"/>
              </a:solidFill>
            </c:spPr>
          </c:dPt>
          <c:dLbls>
            <c:dLbl>
              <c:idx val="1"/>
              <c:layout>
                <c:manualLayout>
                  <c:x val="5.2519163713226936E-2"/>
                  <c:y val="-0.129982807114558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31946243321595"/>
                  <c:y val="-8.11361894477652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061428162087664"/>
                  <c:y val="-2.22345707587655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Продукция химической промышленности</c:v>
                </c:pt>
                <c:pt idx="1">
                  <c:v>Машиностроительная продукция</c:v>
                </c:pt>
                <c:pt idx="2">
                  <c:v>Металлы и изделия из них</c:v>
                </c:pt>
                <c:pt idx="3">
                  <c:v>Прочие товары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0.61299999999999999</c:v>
                </c:pt>
                <c:pt idx="1">
                  <c:v>0.23300000000000001</c:v>
                </c:pt>
                <c:pt idx="2">
                  <c:v>5.2999999999999999E-2</c:v>
                </c:pt>
                <c:pt idx="3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87"/>
      </c:pieChart>
    </c:plotArea>
    <c:legend>
      <c:legendPos val="r"/>
      <c:layout>
        <c:manualLayout>
          <c:xMode val="edge"/>
          <c:yMode val="edge"/>
          <c:x val="0.54166666666666663"/>
          <c:y val="0.25395470770031864"/>
          <c:w val="0.41512345679012347"/>
          <c:h val="0.64629958688802058"/>
        </c:manualLayout>
      </c:layout>
      <c:overlay val="0"/>
      <c:txPr>
        <a:bodyPr/>
        <a:lstStyle/>
        <a:p>
          <a:pPr>
            <a:defRPr lang="ru-RU" sz="1000" b="0" i="0" u="none" strike="noStrike" kern="1200" baseline="0">
              <a:solidFill>
                <a:prstClr val="black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0.16898</cdr:x>
      <cdr:y>0.74194</cdr:y>
    </cdr:from>
    <cdr:to>
      <cdr:x>0.31629</cdr:x>
      <cdr:y>0.99594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8869" y="267096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0.16898</cdr:x>
      <cdr:y>0.74194</cdr:y>
    </cdr:from>
    <cdr:to>
      <cdr:x>0.31629</cdr:x>
      <cdr:y>0.99594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8869" y="267096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cap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Алексей Ишалев</dc:creator>
  <cp:lastModifiedBy>МЭ Тимофеева Ирина Геннадьевна</cp:lastModifiedBy>
  <cp:revision>32</cp:revision>
  <cp:lastPrinted>2021-02-08T10:04:00Z</cp:lastPrinted>
  <dcterms:created xsi:type="dcterms:W3CDTF">2021-02-08T08:00:00Z</dcterms:created>
  <dcterms:modified xsi:type="dcterms:W3CDTF">2021-03-10T05:19:00Z</dcterms:modified>
</cp:coreProperties>
</file>