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9B" w:rsidRPr="00CD4735" w:rsidRDefault="00C6509B" w:rsidP="00C6509B">
      <w:pPr>
        <w:jc w:val="center"/>
        <w:rPr>
          <w:b/>
          <w:spacing w:val="-6"/>
        </w:rPr>
      </w:pPr>
      <w:r w:rsidRPr="00CD4735">
        <w:rPr>
          <w:b/>
          <w:spacing w:val="-6"/>
        </w:rPr>
        <w:t>ИНФОРМАЦИЯ</w:t>
      </w:r>
    </w:p>
    <w:p w:rsidR="00C6509B" w:rsidRPr="00CD4735" w:rsidRDefault="00C6509B" w:rsidP="00C6509B">
      <w:pPr>
        <w:jc w:val="center"/>
        <w:rPr>
          <w:b/>
        </w:rPr>
      </w:pPr>
      <w:r w:rsidRPr="00CD4735">
        <w:rPr>
          <w:b/>
        </w:rPr>
        <w:t xml:space="preserve">об основных показателях социально-экономического развития </w:t>
      </w:r>
    </w:p>
    <w:p w:rsidR="00C6509B" w:rsidRPr="00CD4735" w:rsidRDefault="00C6509B" w:rsidP="009B1462">
      <w:pPr>
        <w:jc w:val="center"/>
        <w:rPr>
          <w:b/>
        </w:rPr>
      </w:pPr>
      <w:r w:rsidRPr="00CD4735">
        <w:rPr>
          <w:b/>
        </w:rPr>
        <w:t xml:space="preserve">Чувашской Республики </w:t>
      </w:r>
      <w:r w:rsidR="005F7F6A" w:rsidRPr="00CD4735">
        <w:rPr>
          <w:b/>
        </w:rPr>
        <w:t>за</w:t>
      </w:r>
      <w:r w:rsidR="00C53E74" w:rsidRPr="00CD4735">
        <w:rPr>
          <w:b/>
        </w:rPr>
        <w:t xml:space="preserve"> </w:t>
      </w:r>
      <w:r w:rsidR="000B6DB0" w:rsidRPr="00CD4735">
        <w:rPr>
          <w:b/>
        </w:rPr>
        <w:t>январь-</w:t>
      </w:r>
      <w:r w:rsidR="0015338A" w:rsidRPr="00CD4735">
        <w:rPr>
          <w:b/>
        </w:rPr>
        <w:t>но</w:t>
      </w:r>
      <w:r w:rsidR="00C249D2" w:rsidRPr="00CD4735">
        <w:rPr>
          <w:b/>
        </w:rPr>
        <w:t>ябрь</w:t>
      </w:r>
      <w:r w:rsidR="0062610B" w:rsidRPr="00CD4735">
        <w:rPr>
          <w:b/>
        </w:rPr>
        <w:t xml:space="preserve"> </w:t>
      </w:r>
      <w:r w:rsidR="00B0369C" w:rsidRPr="00CD4735">
        <w:rPr>
          <w:b/>
        </w:rPr>
        <w:t>2020</w:t>
      </w:r>
      <w:r w:rsidR="00C53E74" w:rsidRPr="00CD4735">
        <w:rPr>
          <w:b/>
        </w:rPr>
        <w:t xml:space="preserve"> г</w:t>
      </w:r>
      <w:r w:rsidR="000B6DB0" w:rsidRPr="00CD4735">
        <w:rPr>
          <w:b/>
        </w:rPr>
        <w:t>.</w:t>
      </w:r>
    </w:p>
    <w:p w:rsidR="00C6509B" w:rsidRPr="00CD4735" w:rsidRDefault="00C6509B" w:rsidP="00C6509B">
      <w:pPr>
        <w:ind w:firstLine="708"/>
        <w:jc w:val="both"/>
      </w:pPr>
    </w:p>
    <w:p w:rsidR="00C6509B" w:rsidRPr="00CD4735" w:rsidRDefault="00C6509B" w:rsidP="00BF05AC">
      <w:pPr>
        <w:ind w:firstLine="708"/>
        <w:jc w:val="both"/>
      </w:pPr>
      <w:r w:rsidRPr="00CD4735">
        <w:t>Социально-экономическое развитие Чувашской Республики в</w:t>
      </w:r>
      <w:r w:rsidR="00C53E74" w:rsidRPr="00CD4735">
        <w:t xml:space="preserve"> </w:t>
      </w:r>
      <w:r w:rsidR="002A249F" w:rsidRPr="00CD4735">
        <w:t>январе-</w:t>
      </w:r>
      <w:r w:rsidR="0015338A" w:rsidRPr="00CD4735">
        <w:t>но</w:t>
      </w:r>
      <w:r w:rsidR="00C249D2" w:rsidRPr="00CD4735">
        <w:t>ябре</w:t>
      </w:r>
      <w:r w:rsidR="00F84F12" w:rsidRPr="00CD4735">
        <w:t xml:space="preserve"> </w:t>
      </w:r>
      <w:r w:rsidR="00B0369C" w:rsidRPr="00CD4735">
        <w:t>2020</w:t>
      </w:r>
      <w:r w:rsidRPr="00CD4735">
        <w:t xml:space="preserve"> г. характеризовалось ростом объемов </w:t>
      </w:r>
      <w:r w:rsidR="00E44E83" w:rsidRPr="00CD4735">
        <w:t xml:space="preserve">сельскохозяйственного производства, </w:t>
      </w:r>
      <w:r w:rsidR="00AF71A7" w:rsidRPr="00CD4735">
        <w:t>работ по виду деятельности «строительство»</w:t>
      </w:r>
      <w:r w:rsidR="00BF05AC" w:rsidRPr="00CD4735">
        <w:t>,</w:t>
      </w:r>
      <w:r w:rsidR="00A03B7F" w:rsidRPr="00CD4735">
        <w:t xml:space="preserve"> грузооборот</w:t>
      </w:r>
      <w:r w:rsidR="006E141A" w:rsidRPr="00CD4735">
        <w:t>а</w:t>
      </w:r>
      <w:r w:rsidR="00A03B7F" w:rsidRPr="00CD4735">
        <w:t xml:space="preserve"> грузовых автомобилей, </w:t>
      </w:r>
      <w:r w:rsidRPr="00CD4735">
        <w:t>номинальн</w:t>
      </w:r>
      <w:r w:rsidR="000A3E6E" w:rsidRPr="00CD4735">
        <w:t>ой и реальной заработной платы</w:t>
      </w:r>
      <w:r w:rsidR="00D30240" w:rsidRPr="00CD4735">
        <w:t>, внешнеторгового оборота.</w:t>
      </w:r>
      <w:r w:rsidRPr="00CD4735">
        <w:t xml:space="preserve"> Инфляция сложилась </w:t>
      </w:r>
      <w:r w:rsidR="00293BCC" w:rsidRPr="00CD4735">
        <w:t>выше</w:t>
      </w:r>
      <w:r w:rsidRPr="00CD4735">
        <w:t>, чем в среднем по России.</w:t>
      </w:r>
    </w:p>
    <w:p w:rsidR="00A16607" w:rsidRPr="00CD4735" w:rsidRDefault="00A16607" w:rsidP="00C6509B">
      <w:pPr>
        <w:ind w:firstLine="708"/>
        <w:jc w:val="both"/>
      </w:pPr>
    </w:p>
    <w:p w:rsidR="005334C8" w:rsidRPr="00CD4735" w:rsidRDefault="00C6509B" w:rsidP="005334C8">
      <w:pPr>
        <w:ind w:firstLine="709"/>
        <w:jc w:val="both"/>
        <w:rPr>
          <w:bCs/>
          <w:iCs/>
        </w:rPr>
      </w:pPr>
      <w:r w:rsidRPr="00CD4735">
        <w:rPr>
          <w:b/>
          <w:bCs/>
          <w:iCs/>
        </w:rPr>
        <w:t>Индекс промышленного производства</w:t>
      </w:r>
      <w:r w:rsidRPr="00CD4735">
        <w:rPr>
          <w:bCs/>
          <w:iCs/>
        </w:rPr>
        <w:t xml:space="preserve"> </w:t>
      </w:r>
      <w:r w:rsidR="00867130" w:rsidRPr="00CD4735">
        <w:rPr>
          <w:bCs/>
          <w:iCs/>
        </w:rPr>
        <w:t>за</w:t>
      </w:r>
      <w:r w:rsidR="00A16607" w:rsidRPr="00CD4735">
        <w:rPr>
          <w:bCs/>
          <w:iCs/>
        </w:rPr>
        <w:t xml:space="preserve"> </w:t>
      </w:r>
      <w:r w:rsidR="002A249F" w:rsidRPr="00CD4735">
        <w:rPr>
          <w:bCs/>
          <w:iCs/>
        </w:rPr>
        <w:t>январ</w:t>
      </w:r>
      <w:r w:rsidR="00867130" w:rsidRPr="00CD4735">
        <w:rPr>
          <w:bCs/>
          <w:iCs/>
        </w:rPr>
        <w:t>ь</w:t>
      </w:r>
      <w:r w:rsidR="002A249F" w:rsidRPr="00CD4735">
        <w:rPr>
          <w:bCs/>
          <w:iCs/>
        </w:rPr>
        <w:t>-</w:t>
      </w:r>
      <w:r w:rsidR="00E41081" w:rsidRPr="00CD4735">
        <w:rPr>
          <w:bCs/>
          <w:iCs/>
        </w:rPr>
        <w:t>но</w:t>
      </w:r>
      <w:r w:rsidR="00867130" w:rsidRPr="00CD4735">
        <w:rPr>
          <w:bCs/>
          <w:iCs/>
        </w:rPr>
        <w:t>ябрь</w:t>
      </w:r>
      <w:r w:rsidR="0079545E" w:rsidRPr="00CD4735">
        <w:rPr>
          <w:bCs/>
          <w:iCs/>
        </w:rPr>
        <w:t xml:space="preserve"> </w:t>
      </w:r>
      <w:r w:rsidR="0001700C" w:rsidRPr="00CD4735">
        <w:rPr>
          <w:bCs/>
          <w:iCs/>
        </w:rPr>
        <w:t>2020</w:t>
      </w:r>
      <w:r w:rsidRPr="00CD4735">
        <w:rPr>
          <w:bCs/>
          <w:iCs/>
        </w:rPr>
        <w:t xml:space="preserve"> г. </w:t>
      </w:r>
      <w:r w:rsidR="004842F2" w:rsidRPr="00CD4735">
        <w:rPr>
          <w:bCs/>
          <w:iCs/>
        </w:rPr>
        <w:t xml:space="preserve">составил </w:t>
      </w:r>
      <w:r w:rsidR="00280467" w:rsidRPr="00CD4735">
        <w:rPr>
          <w:bCs/>
          <w:iCs/>
        </w:rPr>
        <w:t>99,</w:t>
      </w:r>
      <w:r w:rsidR="00897C73" w:rsidRPr="00CD4735">
        <w:rPr>
          <w:bCs/>
          <w:iCs/>
        </w:rPr>
        <w:t>2</w:t>
      </w:r>
      <w:r w:rsidRPr="00CD4735">
        <w:rPr>
          <w:bCs/>
          <w:iCs/>
        </w:rPr>
        <w:t xml:space="preserve">% (по России – </w:t>
      </w:r>
      <w:r w:rsidR="00897C73" w:rsidRPr="00CD4735">
        <w:rPr>
          <w:bCs/>
          <w:iCs/>
        </w:rPr>
        <w:t>97,0</w:t>
      </w:r>
      <w:r w:rsidRPr="00CD4735">
        <w:rPr>
          <w:bCs/>
          <w:iCs/>
        </w:rPr>
        <w:t>%) к</w:t>
      </w:r>
      <w:r w:rsidR="00A16607" w:rsidRPr="00CD4735">
        <w:rPr>
          <w:bCs/>
          <w:iCs/>
        </w:rPr>
        <w:t xml:space="preserve"> соответствующему периоду </w:t>
      </w:r>
      <w:r w:rsidR="00D6485E" w:rsidRPr="00CD4735">
        <w:rPr>
          <w:bCs/>
          <w:iCs/>
        </w:rPr>
        <w:t>201</w:t>
      </w:r>
      <w:r w:rsidR="0001700C" w:rsidRPr="00CD4735">
        <w:rPr>
          <w:bCs/>
          <w:iCs/>
        </w:rPr>
        <w:t>9</w:t>
      </w:r>
      <w:r w:rsidR="00D6485E" w:rsidRPr="00CD4735">
        <w:rPr>
          <w:bCs/>
          <w:iCs/>
        </w:rPr>
        <w:t xml:space="preserve"> </w:t>
      </w:r>
      <w:r w:rsidRPr="00CD4735">
        <w:rPr>
          <w:bCs/>
          <w:iCs/>
        </w:rPr>
        <w:t>г</w:t>
      </w:r>
      <w:r w:rsidR="003D42FA" w:rsidRPr="00CD4735">
        <w:rPr>
          <w:bCs/>
          <w:iCs/>
        </w:rPr>
        <w:t>.</w:t>
      </w:r>
      <w:r w:rsidRPr="00CD4735">
        <w:rPr>
          <w:bCs/>
          <w:iCs/>
        </w:rPr>
        <w:t>, в том числе по обрабатывающим производствам –</w:t>
      </w:r>
      <w:r w:rsidR="004842F2" w:rsidRPr="00CD4735">
        <w:rPr>
          <w:bCs/>
          <w:iCs/>
        </w:rPr>
        <w:t xml:space="preserve"> </w:t>
      </w:r>
      <w:r w:rsidR="00392A3A" w:rsidRPr="00CD4735">
        <w:rPr>
          <w:bCs/>
          <w:iCs/>
        </w:rPr>
        <w:t>98,2</w:t>
      </w:r>
      <w:r w:rsidRPr="00CD4735">
        <w:rPr>
          <w:bCs/>
          <w:iCs/>
        </w:rPr>
        <w:t>%</w:t>
      </w:r>
      <w:r w:rsidRPr="00CD4735">
        <w:rPr>
          <w:b/>
          <w:bCs/>
          <w:i/>
          <w:iCs/>
        </w:rPr>
        <w:t xml:space="preserve"> </w:t>
      </w:r>
      <w:r w:rsidRPr="00CD4735">
        <w:rPr>
          <w:bCs/>
          <w:iCs/>
        </w:rPr>
        <w:t xml:space="preserve">(по России – </w:t>
      </w:r>
      <w:r w:rsidR="00457C26" w:rsidRPr="00CD4735">
        <w:rPr>
          <w:bCs/>
          <w:iCs/>
        </w:rPr>
        <w:t>99,</w:t>
      </w:r>
      <w:r w:rsidR="007F0F97" w:rsidRPr="00CD4735">
        <w:rPr>
          <w:bCs/>
          <w:iCs/>
        </w:rPr>
        <w:t>9</w:t>
      </w:r>
      <w:r w:rsidR="009B30F0" w:rsidRPr="00CD4735">
        <w:rPr>
          <w:bCs/>
          <w:iCs/>
        </w:rPr>
        <w:t>%</w:t>
      </w:r>
      <w:r w:rsidR="00F51F1B" w:rsidRPr="00CD4735">
        <w:rPr>
          <w:bCs/>
          <w:iCs/>
        </w:rPr>
        <w:t>).</w:t>
      </w:r>
      <w:r w:rsidR="005334C8" w:rsidRPr="00CD4735">
        <w:rPr>
          <w:bCs/>
          <w:iCs/>
        </w:rPr>
        <w:t xml:space="preserve"> Среди регионов ПФО по индексу промышленного производства в</w:t>
      </w:r>
      <w:r w:rsidR="00E25C19" w:rsidRPr="00CD4735">
        <w:rPr>
          <w:bCs/>
          <w:iCs/>
        </w:rPr>
        <w:t xml:space="preserve"> январе</w:t>
      </w:r>
      <w:r w:rsidR="004842F2" w:rsidRPr="00CD4735">
        <w:rPr>
          <w:bCs/>
          <w:iCs/>
        </w:rPr>
        <w:t>-</w:t>
      </w:r>
      <w:r w:rsidR="004A08A5" w:rsidRPr="00CD4735">
        <w:rPr>
          <w:bCs/>
          <w:iCs/>
        </w:rPr>
        <w:t>ок</w:t>
      </w:r>
      <w:r w:rsidR="00E7640C" w:rsidRPr="00CD4735">
        <w:rPr>
          <w:bCs/>
          <w:iCs/>
        </w:rPr>
        <w:t>тябр</w:t>
      </w:r>
      <w:r w:rsidR="00A3752E" w:rsidRPr="00CD4735">
        <w:rPr>
          <w:bCs/>
          <w:iCs/>
        </w:rPr>
        <w:t>е</w:t>
      </w:r>
      <w:r w:rsidR="005334C8" w:rsidRPr="00CD4735">
        <w:rPr>
          <w:bCs/>
          <w:iCs/>
        </w:rPr>
        <w:t xml:space="preserve"> </w:t>
      </w:r>
      <w:r w:rsidR="00E25C19" w:rsidRPr="00CD4735">
        <w:rPr>
          <w:bCs/>
          <w:iCs/>
        </w:rPr>
        <w:t xml:space="preserve">2020 г. Чувашия заняла </w:t>
      </w:r>
      <w:r w:rsidR="00A3752E" w:rsidRPr="00CD4735">
        <w:rPr>
          <w:bCs/>
          <w:iCs/>
        </w:rPr>
        <w:t>4</w:t>
      </w:r>
      <w:r w:rsidR="005334C8" w:rsidRPr="00CD4735">
        <w:rPr>
          <w:bCs/>
          <w:iCs/>
        </w:rPr>
        <w:t> место</w:t>
      </w:r>
      <w:r w:rsidR="00E25C19" w:rsidRPr="00CD4735">
        <w:rPr>
          <w:bCs/>
          <w:iCs/>
        </w:rPr>
        <w:t xml:space="preserve"> (</w:t>
      </w:r>
      <w:r w:rsidR="00E7640C" w:rsidRPr="00CD4735">
        <w:rPr>
          <w:bCs/>
          <w:iCs/>
        </w:rPr>
        <w:t>3</w:t>
      </w:r>
      <w:r w:rsidR="004A08A5" w:rsidRPr="00CD4735">
        <w:rPr>
          <w:bCs/>
          <w:iCs/>
        </w:rPr>
        <w:t>3</w:t>
      </w:r>
      <w:r w:rsidR="00A5387D" w:rsidRPr="00CD4735">
        <w:rPr>
          <w:bCs/>
          <w:iCs/>
        </w:rPr>
        <w:t> </w:t>
      </w:r>
      <w:r w:rsidR="005334C8" w:rsidRPr="00CD4735">
        <w:rPr>
          <w:bCs/>
          <w:iCs/>
        </w:rPr>
        <w:t>место среди субъектов Российской Федерации).</w:t>
      </w:r>
    </w:p>
    <w:p w:rsidR="00C6509B" w:rsidRPr="00CD4735" w:rsidRDefault="00C6509B" w:rsidP="00C6509B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Организациями промышленного комплекса отгружено товаров собственного производства, выполнено собственными силами работ и услуг на сум</w:t>
      </w:r>
      <w:r w:rsidR="00A81AE4" w:rsidRPr="00CD4735">
        <w:rPr>
          <w:bCs/>
          <w:iCs/>
        </w:rPr>
        <w:t xml:space="preserve">му </w:t>
      </w:r>
      <w:r w:rsidR="00A672A4" w:rsidRPr="00CD4735">
        <w:rPr>
          <w:bCs/>
          <w:iCs/>
        </w:rPr>
        <w:t>220,0</w:t>
      </w:r>
      <w:r w:rsidR="00A81AE4" w:rsidRPr="00CD4735">
        <w:rPr>
          <w:bCs/>
          <w:iCs/>
        </w:rPr>
        <w:t xml:space="preserve"> млрд. рублей, или </w:t>
      </w:r>
      <w:r w:rsidR="00A672A4" w:rsidRPr="00CD4735">
        <w:rPr>
          <w:bCs/>
          <w:iCs/>
        </w:rPr>
        <w:t>94,2</w:t>
      </w:r>
      <w:r w:rsidRPr="00CD4735">
        <w:rPr>
          <w:bCs/>
          <w:iCs/>
        </w:rPr>
        <w:t xml:space="preserve">% </w:t>
      </w:r>
      <w:r w:rsidR="00A16607" w:rsidRPr="00CD4735">
        <w:rPr>
          <w:bCs/>
          <w:iCs/>
        </w:rPr>
        <w:t xml:space="preserve">к соответствующему периоду </w:t>
      </w:r>
      <w:r w:rsidR="001A6E0A" w:rsidRPr="00CD4735">
        <w:rPr>
          <w:bCs/>
          <w:iCs/>
        </w:rPr>
        <w:t>2019</w:t>
      </w:r>
      <w:r w:rsidRPr="00CD4735">
        <w:rPr>
          <w:bCs/>
          <w:iCs/>
        </w:rPr>
        <w:t xml:space="preserve"> г., в том числе организациями обрабатывающих произ</w:t>
      </w:r>
      <w:r w:rsidR="001A6E0A" w:rsidRPr="00CD4735">
        <w:rPr>
          <w:bCs/>
          <w:iCs/>
        </w:rPr>
        <w:t>водств –</w:t>
      </w:r>
      <w:r w:rsidR="007145AB" w:rsidRPr="00CD4735">
        <w:rPr>
          <w:bCs/>
          <w:iCs/>
        </w:rPr>
        <w:t xml:space="preserve"> </w:t>
      </w:r>
      <w:r w:rsidR="00A672A4" w:rsidRPr="00CD4735">
        <w:rPr>
          <w:bCs/>
          <w:iCs/>
        </w:rPr>
        <w:t>193,1</w:t>
      </w:r>
      <w:r w:rsidR="00867130" w:rsidRPr="00CD4735">
        <w:rPr>
          <w:bCs/>
          <w:iCs/>
        </w:rPr>
        <w:t xml:space="preserve"> </w:t>
      </w:r>
      <w:r w:rsidR="005B7EC6" w:rsidRPr="00CD4735">
        <w:rPr>
          <w:bCs/>
          <w:iCs/>
        </w:rPr>
        <w:t>млрд. рубл</w:t>
      </w:r>
      <w:r w:rsidR="00886C84" w:rsidRPr="00CD4735">
        <w:rPr>
          <w:bCs/>
          <w:iCs/>
        </w:rPr>
        <w:t>ей (94</w:t>
      </w:r>
      <w:r w:rsidR="00945441" w:rsidRPr="00CD4735">
        <w:rPr>
          <w:bCs/>
          <w:iCs/>
        </w:rPr>
        <w:t>,</w:t>
      </w:r>
      <w:r w:rsidR="00A672A4" w:rsidRPr="00CD4735">
        <w:rPr>
          <w:bCs/>
          <w:iCs/>
        </w:rPr>
        <w:t>7</w:t>
      </w:r>
      <w:r w:rsidRPr="00CD4735">
        <w:rPr>
          <w:bCs/>
          <w:iCs/>
        </w:rPr>
        <w:t>%).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В структуре обрабатывающих производств основную долю занимают предприятия машиностроения – </w:t>
      </w:r>
      <w:r w:rsidR="00A672A4" w:rsidRPr="00CD4735">
        <w:rPr>
          <w:bCs/>
          <w:iCs/>
        </w:rPr>
        <w:t>32,0</w:t>
      </w:r>
      <w:r w:rsidRPr="00CD4735">
        <w:rPr>
          <w:bCs/>
          <w:iCs/>
        </w:rPr>
        <w:t xml:space="preserve">%, электротехники – </w:t>
      </w:r>
      <w:r w:rsidR="005E4A64" w:rsidRPr="00CD4735">
        <w:rPr>
          <w:bCs/>
          <w:iCs/>
        </w:rPr>
        <w:t>20,</w:t>
      </w:r>
      <w:r w:rsidR="00A672A4" w:rsidRPr="00CD4735">
        <w:rPr>
          <w:bCs/>
          <w:iCs/>
        </w:rPr>
        <w:t>7</w:t>
      </w:r>
      <w:r w:rsidRPr="00CD4735">
        <w:rPr>
          <w:bCs/>
          <w:iCs/>
        </w:rPr>
        <w:t xml:space="preserve">%, химического производства – </w:t>
      </w:r>
      <w:r w:rsidR="00A672A4" w:rsidRPr="00CD4735">
        <w:rPr>
          <w:bCs/>
          <w:iCs/>
        </w:rPr>
        <w:t>17,0</w:t>
      </w:r>
      <w:r w:rsidRPr="00CD4735">
        <w:rPr>
          <w:bCs/>
          <w:iCs/>
        </w:rPr>
        <w:t>%</w:t>
      </w:r>
      <w:r w:rsidR="005E4A64" w:rsidRPr="00CD4735">
        <w:rPr>
          <w:bCs/>
          <w:iCs/>
        </w:rPr>
        <w:t xml:space="preserve">, </w:t>
      </w:r>
      <w:r w:rsidR="004749DD" w:rsidRPr="00CD4735">
        <w:rPr>
          <w:bCs/>
          <w:iCs/>
        </w:rPr>
        <w:t xml:space="preserve">пищевых продуктов, включая напитки – </w:t>
      </w:r>
      <w:r w:rsidR="00A672A4" w:rsidRPr="00CD4735">
        <w:rPr>
          <w:bCs/>
          <w:iCs/>
        </w:rPr>
        <w:t>16,6</w:t>
      </w:r>
      <w:r w:rsidR="005E4A64" w:rsidRPr="00CD4735">
        <w:rPr>
          <w:bCs/>
          <w:iCs/>
        </w:rPr>
        <w:t>%</w:t>
      </w:r>
      <w:r w:rsidRPr="00CD4735">
        <w:rPr>
          <w:bCs/>
          <w:iCs/>
        </w:rPr>
        <w:t>. В этих видах деятельности сконцентрировано большинство крупных, экономически или социально значимых организаций в Чувашской Республике.</w:t>
      </w:r>
    </w:p>
    <w:p w:rsidR="00FC4F4E" w:rsidRPr="00CD4735" w:rsidRDefault="00C6509B" w:rsidP="00702F3D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Обеспечен прирост индекса промышленного производства</w:t>
      </w:r>
      <w:r w:rsidR="00FC4F4E" w:rsidRPr="00CD4735">
        <w:rPr>
          <w:bCs/>
          <w:iCs/>
        </w:rPr>
        <w:t xml:space="preserve"> по выпуску (к</w:t>
      </w:r>
      <w:r w:rsidR="00A16607" w:rsidRPr="00CD4735">
        <w:rPr>
          <w:bCs/>
          <w:iCs/>
        </w:rPr>
        <w:t> </w:t>
      </w:r>
      <w:r w:rsidR="003F7EE9" w:rsidRPr="00CD4735">
        <w:rPr>
          <w:bCs/>
          <w:iCs/>
        </w:rPr>
        <w:t>январю-</w:t>
      </w:r>
      <w:r w:rsidR="00A672A4" w:rsidRPr="00CD4735">
        <w:rPr>
          <w:bCs/>
          <w:iCs/>
        </w:rPr>
        <w:t>но</w:t>
      </w:r>
      <w:r w:rsidR="00867130" w:rsidRPr="00CD4735">
        <w:rPr>
          <w:bCs/>
          <w:iCs/>
        </w:rPr>
        <w:t>ябрю</w:t>
      </w:r>
      <w:r w:rsidR="00A16607" w:rsidRPr="00CD4735">
        <w:rPr>
          <w:bCs/>
          <w:iCs/>
        </w:rPr>
        <w:t xml:space="preserve"> </w:t>
      </w:r>
      <w:r w:rsidR="00FC4F4E" w:rsidRPr="00CD4735">
        <w:rPr>
          <w:bCs/>
          <w:iCs/>
        </w:rPr>
        <w:t>2019 г.):</w:t>
      </w:r>
      <w:r w:rsidRPr="00CD4735">
        <w:rPr>
          <w:bCs/>
          <w:iCs/>
        </w:rPr>
        <w:t xml:space="preserve"> 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– резиновых и пластмассовых изделий – на </w:t>
      </w:r>
      <w:r w:rsidR="00303D0F" w:rsidRPr="00CD4735">
        <w:rPr>
          <w:bCs/>
          <w:iCs/>
        </w:rPr>
        <w:t>22,</w:t>
      </w:r>
      <w:r w:rsidR="00A672A4" w:rsidRPr="00CD4735">
        <w:rPr>
          <w:bCs/>
          <w:iCs/>
        </w:rPr>
        <w:t>9</w:t>
      </w:r>
      <w:r w:rsidRPr="00CD4735">
        <w:rPr>
          <w:bCs/>
          <w:iCs/>
        </w:rPr>
        <w:t>%;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– электронных и оптических изделий – на </w:t>
      </w:r>
      <w:r w:rsidR="00D13AF7" w:rsidRPr="00CD4735">
        <w:rPr>
          <w:bCs/>
          <w:iCs/>
        </w:rPr>
        <w:t>21,2</w:t>
      </w:r>
      <w:r w:rsidRPr="00CD4735">
        <w:rPr>
          <w:bCs/>
          <w:iCs/>
        </w:rPr>
        <w:t>%;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– машин и оборудования, не включенных в другие группировки – на </w:t>
      </w:r>
      <w:r w:rsidR="00FA7F08" w:rsidRPr="00CD4735">
        <w:rPr>
          <w:bCs/>
          <w:iCs/>
        </w:rPr>
        <w:t>11,4</w:t>
      </w:r>
      <w:r w:rsidRPr="00CD4735">
        <w:rPr>
          <w:bCs/>
          <w:iCs/>
        </w:rPr>
        <w:t>%;</w:t>
      </w:r>
    </w:p>
    <w:p w:rsidR="00867130" w:rsidRPr="00CD4735" w:rsidRDefault="00867130" w:rsidP="008F7C8A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– химических веществ и химических продуктов – на </w:t>
      </w:r>
      <w:r w:rsidR="008F7C8A" w:rsidRPr="00CD4735">
        <w:rPr>
          <w:bCs/>
          <w:iCs/>
        </w:rPr>
        <w:t xml:space="preserve">11,2% </w:t>
      </w:r>
      <w:r w:rsidR="00E90CC1" w:rsidRPr="00CD4735">
        <w:rPr>
          <w:bCs/>
          <w:iCs/>
        </w:rPr>
        <w:t>и др.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Увеличили объемы производства: </w:t>
      </w:r>
      <w:proofErr w:type="gramStart"/>
      <w:r w:rsidRPr="00CD4735">
        <w:rPr>
          <w:bCs/>
          <w:iCs/>
        </w:rPr>
        <w:t xml:space="preserve">ООО «Хевел», АО «ЧЭАЗ», АО Фирма «Август» «ВЗСП», </w:t>
      </w:r>
      <w:r w:rsidR="00922214" w:rsidRPr="00922214">
        <w:rPr>
          <w:bCs/>
          <w:iCs/>
        </w:rPr>
        <w:t>ЗАО «ЧП «</w:t>
      </w:r>
      <w:proofErr w:type="spellStart"/>
      <w:r w:rsidR="00922214" w:rsidRPr="00922214">
        <w:rPr>
          <w:bCs/>
          <w:iCs/>
        </w:rPr>
        <w:t>Сеспель</w:t>
      </w:r>
      <w:proofErr w:type="spellEnd"/>
      <w:r w:rsidR="00922214" w:rsidRPr="00922214">
        <w:rPr>
          <w:bCs/>
          <w:iCs/>
        </w:rPr>
        <w:t xml:space="preserve">», </w:t>
      </w:r>
      <w:r w:rsidRPr="00CD4735">
        <w:rPr>
          <w:bCs/>
          <w:iCs/>
        </w:rPr>
        <w:t>ЗАО «ЗИСО»</w:t>
      </w:r>
      <w:r w:rsidR="00922214">
        <w:rPr>
          <w:bCs/>
          <w:iCs/>
        </w:rPr>
        <w:t xml:space="preserve">, </w:t>
      </w:r>
      <w:r w:rsidR="00922214" w:rsidRPr="00922214">
        <w:rPr>
          <w:bCs/>
          <w:iCs/>
        </w:rPr>
        <w:t>АО «ЭЛАРА», ООО «</w:t>
      </w:r>
      <w:proofErr w:type="spellStart"/>
      <w:r w:rsidR="00922214" w:rsidRPr="00922214">
        <w:rPr>
          <w:bCs/>
          <w:iCs/>
        </w:rPr>
        <w:t>Аурат</w:t>
      </w:r>
      <w:proofErr w:type="spellEnd"/>
      <w:r w:rsidR="00922214" w:rsidRPr="00922214">
        <w:rPr>
          <w:bCs/>
          <w:iCs/>
        </w:rPr>
        <w:t xml:space="preserve">-СВ» </w:t>
      </w:r>
      <w:r w:rsidRPr="00CD4735">
        <w:rPr>
          <w:bCs/>
          <w:iCs/>
        </w:rPr>
        <w:t>и ряд других предприятий.</w:t>
      </w:r>
      <w:proofErr w:type="gramEnd"/>
    </w:p>
    <w:p w:rsidR="00C6509B" w:rsidRPr="00CD4735" w:rsidRDefault="00C6509B" w:rsidP="00C6509B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Снижение индекса промышленного производства отмечено в производстве:</w:t>
      </w:r>
    </w:p>
    <w:p w:rsidR="00647AAB" w:rsidRPr="00CD4735" w:rsidRDefault="003F1F58" w:rsidP="00647AAB">
      <w:pPr>
        <w:ind w:firstLine="709"/>
        <w:jc w:val="both"/>
        <w:rPr>
          <w:bCs/>
          <w:iCs/>
        </w:rPr>
      </w:pPr>
      <w:proofErr w:type="gramStart"/>
      <w:r w:rsidRPr="00CD4735">
        <w:rPr>
          <w:bCs/>
          <w:iCs/>
        </w:rPr>
        <w:t>металлургическом</w:t>
      </w:r>
      <w:proofErr w:type="gramEnd"/>
      <w:r w:rsidRPr="00CD4735">
        <w:rPr>
          <w:bCs/>
          <w:iCs/>
        </w:rPr>
        <w:t xml:space="preserve"> </w:t>
      </w:r>
      <w:r w:rsidR="003F7EE9" w:rsidRPr="00CD4735">
        <w:rPr>
          <w:bCs/>
          <w:iCs/>
        </w:rPr>
        <w:t>–</w:t>
      </w:r>
      <w:r w:rsidR="00F8582F" w:rsidRPr="00CD4735">
        <w:rPr>
          <w:bCs/>
          <w:iCs/>
        </w:rPr>
        <w:t xml:space="preserve"> </w:t>
      </w:r>
      <w:r w:rsidR="00F90E37" w:rsidRPr="00CD4735">
        <w:rPr>
          <w:bCs/>
          <w:iCs/>
        </w:rPr>
        <w:t>49,2</w:t>
      </w:r>
      <w:r w:rsidR="00647AAB" w:rsidRPr="00CD4735">
        <w:rPr>
          <w:bCs/>
          <w:iCs/>
        </w:rPr>
        <w:t xml:space="preserve">% </w:t>
      </w:r>
      <w:r w:rsidR="00647AAB" w:rsidRPr="00CD4735">
        <w:rPr>
          <w:bCs/>
          <w:i/>
          <w:iCs/>
        </w:rPr>
        <w:t xml:space="preserve">(за счет снижения </w:t>
      </w:r>
      <w:r w:rsidR="008373E4" w:rsidRPr="00CD4735">
        <w:rPr>
          <w:bCs/>
          <w:i/>
          <w:iCs/>
        </w:rPr>
        <w:t>литья</w:t>
      </w:r>
      <w:r w:rsidR="002B2D75" w:rsidRPr="00CD4735">
        <w:rPr>
          <w:bCs/>
          <w:i/>
          <w:iCs/>
        </w:rPr>
        <w:t xml:space="preserve"> металлов – </w:t>
      </w:r>
      <w:r w:rsidR="00E77510" w:rsidRPr="00CD4735">
        <w:rPr>
          <w:bCs/>
          <w:i/>
          <w:iCs/>
        </w:rPr>
        <w:t>4</w:t>
      </w:r>
      <w:r w:rsidR="00F90E37" w:rsidRPr="00CD4735">
        <w:rPr>
          <w:bCs/>
          <w:i/>
          <w:iCs/>
        </w:rPr>
        <w:t>6,2</w:t>
      </w:r>
      <w:r w:rsidR="008373E4" w:rsidRPr="00CD4735">
        <w:rPr>
          <w:bCs/>
          <w:i/>
          <w:iCs/>
        </w:rPr>
        <w:t>%</w:t>
      </w:r>
      <w:r w:rsidR="00F90E37" w:rsidRPr="00CD4735">
        <w:rPr>
          <w:bCs/>
          <w:i/>
          <w:iCs/>
        </w:rPr>
        <w:t>; производства стальных труб, полых профилей и фитингов – 99,2%</w:t>
      </w:r>
      <w:r w:rsidR="00647AAB" w:rsidRPr="00CD4735">
        <w:rPr>
          <w:bCs/>
          <w:i/>
          <w:iCs/>
        </w:rPr>
        <w:t>);</w:t>
      </w:r>
    </w:p>
    <w:p w:rsidR="00867130" w:rsidRPr="00CD4735" w:rsidRDefault="00867130" w:rsidP="00C6509B">
      <w:pPr>
        <w:ind w:firstLine="709"/>
        <w:jc w:val="both"/>
        <w:rPr>
          <w:bCs/>
          <w:i/>
          <w:iCs/>
        </w:rPr>
      </w:pPr>
      <w:r w:rsidRPr="00CD4735">
        <w:rPr>
          <w:bCs/>
          <w:iCs/>
        </w:rPr>
        <w:t xml:space="preserve">производство прочих транспортных средств и оборудования – </w:t>
      </w:r>
      <w:r w:rsidR="00F22267" w:rsidRPr="00CD4735">
        <w:rPr>
          <w:bCs/>
          <w:iCs/>
        </w:rPr>
        <w:t>73,5</w:t>
      </w:r>
      <w:r w:rsidRPr="00CD4735">
        <w:rPr>
          <w:bCs/>
          <w:iCs/>
        </w:rPr>
        <w:t>%</w:t>
      </w:r>
      <w:r w:rsidR="00F727A9" w:rsidRPr="00CD4735">
        <w:rPr>
          <w:bCs/>
          <w:iCs/>
        </w:rPr>
        <w:t xml:space="preserve"> </w:t>
      </w:r>
      <w:r w:rsidR="00F727A9" w:rsidRPr="00CD4735">
        <w:rPr>
          <w:bCs/>
          <w:i/>
          <w:iCs/>
        </w:rPr>
        <w:t xml:space="preserve">(за счет снижения производства железнодорожных локомотивов и подвижного состава – </w:t>
      </w:r>
      <w:r w:rsidR="00F22267" w:rsidRPr="00CD4735">
        <w:rPr>
          <w:bCs/>
          <w:i/>
          <w:iCs/>
        </w:rPr>
        <w:t>71,9</w:t>
      </w:r>
      <w:r w:rsidR="00F727A9" w:rsidRPr="00CD4735">
        <w:rPr>
          <w:bCs/>
          <w:i/>
          <w:iCs/>
        </w:rPr>
        <w:t xml:space="preserve">%; летательных аппаратов, включая космические, и соответствующего оборудования – </w:t>
      </w:r>
      <w:r w:rsidR="00F22267" w:rsidRPr="00CD4735">
        <w:rPr>
          <w:bCs/>
          <w:i/>
          <w:iCs/>
        </w:rPr>
        <w:t>99,5</w:t>
      </w:r>
      <w:r w:rsidR="00CC2DE4" w:rsidRPr="00CD4735">
        <w:rPr>
          <w:bCs/>
          <w:i/>
          <w:iCs/>
        </w:rPr>
        <w:t>%</w:t>
      </w:r>
      <w:r w:rsidR="00F727A9" w:rsidRPr="00CD4735">
        <w:rPr>
          <w:bCs/>
          <w:i/>
          <w:iCs/>
        </w:rPr>
        <w:t>)</w:t>
      </w:r>
      <w:r w:rsidRPr="00CD4735">
        <w:rPr>
          <w:bCs/>
          <w:i/>
          <w:iCs/>
        </w:rPr>
        <w:t>;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автотранспортных средств, прицепов и полуприцепов – 7</w:t>
      </w:r>
      <w:r w:rsidR="006D0577" w:rsidRPr="00CD4735">
        <w:rPr>
          <w:bCs/>
          <w:iCs/>
        </w:rPr>
        <w:t>9</w:t>
      </w:r>
      <w:r w:rsidRPr="00CD4735">
        <w:rPr>
          <w:bCs/>
          <w:iCs/>
        </w:rPr>
        <w:t>,</w:t>
      </w:r>
      <w:r w:rsidR="006D0577" w:rsidRPr="00CD4735">
        <w:rPr>
          <w:bCs/>
          <w:iCs/>
        </w:rPr>
        <w:t>6</w:t>
      </w:r>
      <w:r w:rsidRPr="00CD4735">
        <w:rPr>
          <w:bCs/>
          <w:iCs/>
        </w:rPr>
        <w:t xml:space="preserve">% </w:t>
      </w:r>
      <w:r w:rsidRPr="00CD4735">
        <w:rPr>
          <w:bCs/>
          <w:i/>
          <w:iCs/>
        </w:rPr>
        <w:t xml:space="preserve">(за счет снижения производства автотранспортных средств – </w:t>
      </w:r>
      <w:r w:rsidR="006D0577" w:rsidRPr="00CD4735">
        <w:rPr>
          <w:bCs/>
          <w:i/>
          <w:iCs/>
        </w:rPr>
        <w:t>76,9</w:t>
      </w:r>
      <w:r w:rsidRPr="00CD4735">
        <w:rPr>
          <w:bCs/>
          <w:i/>
          <w:iCs/>
        </w:rPr>
        <w:t xml:space="preserve">%; производства комплектующих и принадлежностей для автотранспортных средств – </w:t>
      </w:r>
      <w:r w:rsidR="006D0577" w:rsidRPr="00CD4735">
        <w:rPr>
          <w:bCs/>
          <w:i/>
          <w:iCs/>
        </w:rPr>
        <w:t>82,8</w:t>
      </w:r>
      <w:r w:rsidRPr="00CD4735">
        <w:rPr>
          <w:bCs/>
          <w:i/>
          <w:iCs/>
        </w:rPr>
        <w:t xml:space="preserve">%; производства кузовов для автотранспортных средств; производства прицепов и полуприцепов – </w:t>
      </w:r>
      <w:r w:rsidR="006D0577" w:rsidRPr="00CD4735">
        <w:rPr>
          <w:bCs/>
          <w:i/>
          <w:iCs/>
        </w:rPr>
        <w:t>85,8</w:t>
      </w:r>
      <w:r w:rsidRPr="00CD4735">
        <w:rPr>
          <w:bCs/>
          <w:i/>
          <w:iCs/>
        </w:rPr>
        <w:t>%);</w:t>
      </w:r>
    </w:p>
    <w:p w:rsidR="00397489" w:rsidRPr="00CD4735" w:rsidRDefault="00397489" w:rsidP="00397489">
      <w:pPr>
        <w:ind w:firstLine="709"/>
        <w:jc w:val="both"/>
        <w:rPr>
          <w:bCs/>
          <w:i/>
          <w:iCs/>
        </w:rPr>
      </w:pPr>
      <w:r w:rsidRPr="00CD4735">
        <w:rPr>
          <w:bCs/>
          <w:iCs/>
        </w:rPr>
        <w:t xml:space="preserve">кожи и изделий из кожи – 82,7% </w:t>
      </w:r>
      <w:r w:rsidRPr="00CD4735">
        <w:rPr>
          <w:bCs/>
          <w:i/>
          <w:iCs/>
        </w:rPr>
        <w:t>(за счет снижения дубления и отделки кожи – 67,3%, производства обуви – 83,9%);</w:t>
      </w:r>
    </w:p>
    <w:p w:rsidR="003144F2" w:rsidRPr="00CD4735" w:rsidRDefault="003144F2" w:rsidP="00C6509B">
      <w:pPr>
        <w:ind w:firstLine="709"/>
        <w:jc w:val="both"/>
        <w:rPr>
          <w:bCs/>
          <w:i/>
          <w:iCs/>
        </w:rPr>
      </w:pPr>
      <w:r w:rsidRPr="00CD4735">
        <w:rPr>
          <w:bCs/>
          <w:iCs/>
        </w:rPr>
        <w:t xml:space="preserve">текстильных изделий – </w:t>
      </w:r>
      <w:r w:rsidR="00B37A51" w:rsidRPr="00CD4735">
        <w:rPr>
          <w:bCs/>
          <w:iCs/>
        </w:rPr>
        <w:t>84,3</w:t>
      </w:r>
      <w:r w:rsidRPr="00CD4735">
        <w:rPr>
          <w:bCs/>
          <w:iCs/>
        </w:rPr>
        <w:t>%;</w:t>
      </w:r>
    </w:p>
    <w:p w:rsidR="00397489" w:rsidRPr="00CD4735" w:rsidRDefault="00F76025" w:rsidP="00002CD1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 xml:space="preserve">мебели </w:t>
      </w:r>
      <w:r w:rsidRPr="00CD4735">
        <w:rPr>
          <w:bCs/>
          <w:i/>
          <w:iCs/>
        </w:rPr>
        <w:t xml:space="preserve">– </w:t>
      </w:r>
      <w:r w:rsidR="008C6214" w:rsidRPr="00CD4735">
        <w:rPr>
          <w:bCs/>
          <w:iCs/>
        </w:rPr>
        <w:t>88,4</w:t>
      </w:r>
      <w:r w:rsidR="00002CD1" w:rsidRPr="00CD4735">
        <w:rPr>
          <w:bCs/>
          <w:iCs/>
        </w:rPr>
        <w:t>%</w:t>
      </w:r>
      <w:r w:rsidR="00397489" w:rsidRPr="00CD4735">
        <w:rPr>
          <w:bCs/>
          <w:iCs/>
        </w:rPr>
        <w:t>;</w:t>
      </w:r>
    </w:p>
    <w:p w:rsidR="002366E9" w:rsidRPr="00CD4735" w:rsidRDefault="00397489" w:rsidP="00002CD1">
      <w:pPr>
        <w:ind w:firstLine="709"/>
        <w:jc w:val="both"/>
        <w:rPr>
          <w:bCs/>
          <w:i/>
          <w:iCs/>
        </w:rPr>
      </w:pPr>
      <w:r w:rsidRPr="00CD4735">
        <w:rPr>
          <w:bCs/>
          <w:iCs/>
        </w:rPr>
        <w:t xml:space="preserve">бумаги и бумажных изделий – 90,2% </w:t>
      </w:r>
      <w:r w:rsidRPr="00CD4735">
        <w:rPr>
          <w:bCs/>
          <w:i/>
          <w:iCs/>
        </w:rPr>
        <w:t xml:space="preserve">(за счет снижения производства целлюлозы, древесной массы, бумаги и картона – 86,8%; производства изделий из бумаги и картона – 93,1%) </w:t>
      </w:r>
      <w:r w:rsidR="002366E9" w:rsidRPr="00CD4735">
        <w:rPr>
          <w:bCs/>
          <w:iCs/>
        </w:rPr>
        <w:t>и др.</w:t>
      </w:r>
    </w:p>
    <w:p w:rsidR="00867130" w:rsidRPr="00CD4735" w:rsidRDefault="00867130" w:rsidP="00867130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Снизили объемы производства: ПАО «Химпром», ЗАО «Дюпон-Химпром», ООО «Перкарбонат», ОАО «ВНИИР», АО «КАФ», АО «ШЗСА» и ряд других предприятий.</w:t>
      </w:r>
    </w:p>
    <w:p w:rsidR="0065655D" w:rsidRPr="00CD4735" w:rsidRDefault="0065655D" w:rsidP="0065655D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lastRenderedPageBreak/>
        <w:t>Основная причина снижения индекса промышленного производства и объемов отгруженной продукции связана с внешними неблагоприятными условиями в связи с распространением коронавирусной инфекции и приостановкой деятельности предприятий в апреле – мае текущего года. Наибольшее снижение показателей наблюдается в машиностроении. Основная причина - снижение спроса на крупное вагонное литье и грузовые вагон</w:t>
      </w:r>
      <w:proofErr w:type="gramStart"/>
      <w:r w:rsidRPr="00CD4735">
        <w:rPr>
          <w:bCs/>
          <w:iCs/>
        </w:rPr>
        <w:t>ы ООО</w:t>
      </w:r>
      <w:proofErr w:type="gramEnd"/>
      <w:r w:rsidRPr="00CD4735">
        <w:rPr>
          <w:bCs/>
          <w:iCs/>
        </w:rPr>
        <w:t xml:space="preserve"> «МИГ «КТЗ».</w:t>
      </w:r>
    </w:p>
    <w:p w:rsidR="0065655D" w:rsidRPr="00CD4735" w:rsidRDefault="0065655D" w:rsidP="0065655D">
      <w:pPr>
        <w:ind w:firstLine="709"/>
        <w:jc w:val="both"/>
        <w:rPr>
          <w:bCs/>
          <w:iCs/>
        </w:rPr>
      </w:pPr>
      <w:r w:rsidRPr="00CD4735">
        <w:rPr>
          <w:bCs/>
          <w:iCs/>
        </w:rPr>
        <w:t>Снижение индекса производства текстильных изделий, кожи и изделий из кожи связано со снижением покупательской активности и приостановлением продаж в период пандемии непродовольственных товаров.</w:t>
      </w:r>
    </w:p>
    <w:p w:rsidR="00A16607" w:rsidRPr="00CD4735" w:rsidRDefault="00A16607" w:rsidP="0078566C">
      <w:pPr>
        <w:ind w:firstLine="709"/>
        <w:jc w:val="both"/>
        <w:rPr>
          <w:bCs/>
          <w:iCs/>
        </w:rPr>
      </w:pPr>
    </w:p>
    <w:p w:rsidR="00FC24EA" w:rsidRPr="00CD4735" w:rsidRDefault="00FC24EA" w:rsidP="00FC24EA">
      <w:pPr>
        <w:ind w:firstLine="708"/>
        <w:jc w:val="both"/>
      </w:pPr>
      <w:r w:rsidRPr="00CD4735">
        <w:rPr>
          <w:b/>
          <w:bCs/>
        </w:rPr>
        <w:t>Объем производства продукции сельского хозяйства</w:t>
      </w:r>
      <w:r w:rsidRPr="00CD4735">
        <w:t xml:space="preserve"> в хозяйствах всех категорий за январь-</w:t>
      </w:r>
      <w:r w:rsidR="002C4648" w:rsidRPr="00CD4735">
        <w:t>сентябрь</w:t>
      </w:r>
      <w:r w:rsidRPr="00CD4735">
        <w:t xml:space="preserve"> 2020 г. составил </w:t>
      </w:r>
      <w:r w:rsidR="002C4648" w:rsidRPr="00CD4735">
        <w:t>33</w:t>
      </w:r>
      <w:r w:rsidRPr="00CD4735">
        <w:t xml:space="preserve">,8 млрд. рублей, или </w:t>
      </w:r>
      <w:r w:rsidR="002C4648" w:rsidRPr="00CD4735">
        <w:t>101,4</w:t>
      </w:r>
      <w:r w:rsidRPr="00CD4735">
        <w:t>% к соответствующему периоду 2019 г.</w:t>
      </w:r>
    </w:p>
    <w:p w:rsidR="00FC24EA" w:rsidRPr="00CD4735" w:rsidRDefault="00FC24EA" w:rsidP="00FC24EA">
      <w:pPr>
        <w:ind w:firstLine="708"/>
        <w:jc w:val="both"/>
      </w:pPr>
      <w:proofErr w:type="gramStart"/>
      <w:r w:rsidRPr="00CD4735">
        <w:t>В январе-</w:t>
      </w:r>
      <w:r w:rsidR="009D2D65" w:rsidRPr="00CD4735">
        <w:t>но</w:t>
      </w:r>
      <w:r w:rsidR="005C12B8" w:rsidRPr="00CD4735">
        <w:t>ябре</w:t>
      </w:r>
      <w:r w:rsidRPr="00CD4735">
        <w:t xml:space="preserve"> 2020 г. в хозяйствах всех категорий производство скота и птицы на убой (в живом весе) составило </w:t>
      </w:r>
      <w:r w:rsidR="009D2D65" w:rsidRPr="00CD4735">
        <w:t>100,0</w:t>
      </w:r>
      <w:r w:rsidRPr="00CD4735">
        <w:t xml:space="preserve"> тыс. тонн, что на </w:t>
      </w:r>
      <w:r w:rsidR="009D2D65" w:rsidRPr="00CD4735">
        <w:t>9,6</w:t>
      </w:r>
      <w:r w:rsidRPr="00CD4735">
        <w:t>% меньше, чем в январе-</w:t>
      </w:r>
      <w:r w:rsidR="009D2D65" w:rsidRPr="00CD4735">
        <w:t>но</w:t>
      </w:r>
      <w:r w:rsidR="005C12B8" w:rsidRPr="00CD4735">
        <w:t>ябре</w:t>
      </w:r>
      <w:r w:rsidRPr="00CD4735">
        <w:t xml:space="preserve"> 2019 г., в том числе</w:t>
      </w:r>
      <w:r w:rsidR="005C12B8" w:rsidRPr="00CD4735">
        <w:t xml:space="preserve"> уменьшение</w:t>
      </w:r>
      <w:r w:rsidRPr="00CD4735">
        <w:t xml:space="preserve"> в сельскохозяйственных организациях – на </w:t>
      </w:r>
      <w:r w:rsidR="009D2D65" w:rsidRPr="00CD4735">
        <w:t>12,3</w:t>
      </w:r>
      <w:r w:rsidRPr="00CD4735">
        <w:t>%, в</w:t>
      </w:r>
      <w:r w:rsidRPr="00CD4735">
        <w:rPr>
          <w:lang w:val="en-US"/>
        </w:rPr>
        <w:t> </w:t>
      </w:r>
      <w:r w:rsidRPr="00CD4735">
        <w:t>фермерских хозяйствах и у индивидуальных пре</w:t>
      </w:r>
      <w:r w:rsidR="002C4648" w:rsidRPr="00CD4735">
        <w:t xml:space="preserve">дпринимателей – на </w:t>
      </w:r>
      <w:r w:rsidR="009D2D65" w:rsidRPr="00CD4735">
        <w:t>2,2</w:t>
      </w:r>
      <w:r w:rsidR="006D3C93" w:rsidRPr="00CD4735">
        <w:t>%, в</w:t>
      </w:r>
      <w:r w:rsidRPr="00CD4735">
        <w:rPr>
          <w:lang w:val="en-US"/>
        </w:rPr>
        <w:t> </w:t>
      </w:r>
      <w:r w:rsidRPr="00CD4735">
        <w:t xml:space="preserve">хозяйствах населения </w:t>
      </w:r>
      <w:r w:rsidR="005C12B8" w:rsidRPr="00CD4735">
        <w:t>– на 0,</w:t>
      </w:r>
      <w:r w:rsidR="009D2D65" w:rsidRPr="00CD4735">
        <w:t>6</w:t>
      </w:r>
      <w:r w:rsidRPr="00CD4735">
        <w:t>%.</w:t>
      </w:r>
      <w:proofErr w:type="gramEnd"/>
    </w:p>
    <w:p w:rsidR="00FC24EA" w:rsidRPr="00CD4735" w:rsidRDefault="00FC24EA" w:rsidP="00FC24EA">
      <w:pPr>
        <w:ind w:firstLine="708"/>
        <w:jc w:val="both"/>
      </w:pPr>
      <w:r w:rsidRPr="00CD4735">
        <w:t>Основная причина снижения производства мяса – снижение производства мяса птицы (доля которого составляет более 50% от общего объема производства мяса) из-за роста затрат на корма. Производство мяса птицы в ООО «Агрохолдинг «</w:t>
      </w:r>
      <w:proofErr w:type="spellStart"/>
      <w:r w:rsidRPr="00CD4735">
        <w:t>Юрма</w:t>
      </w:r>
      <w:proofErr w:type="spellEnd"/>
      <w:r w:rsidRPr="00CD4735">
        <w:t>» сократилось на 2</w:t>
      </w:r>
      <w:r w:rsidR="001F0B47" w:rsidRPr="001F0B47">
        <w:t>1</w:t>
      </w:r>
      <w:r w:rsidRPr="00CD4735">
        <w:t>,</w:t>
      </w:r>
      <w:r w:rsidR="001F0B47" w:rsidRPr="001F0B47">
        <w:t>4</w:t>
      </w:r>
      <w:r w:rsidRPr="00CD4735">
        <w:t>%, в «Чувашский бройлер» (ООО «ВДС» арендовало имущественный комплекс) Чебоксарского района – на 9</w:t>
      </w:r>
      <w:r w:rsidR="001F0B47" w:rsidRPr="001F0B47">
        <w:t>6</w:t>
      </w:r>
      <w:r w:rsidRPr="00CD4735">
        <w:t>,</w:t>
      </w:r>
      <w:r w:rsidR="001F0B47" w:rsidRPr="001F0B47">
        <w:t>1</w:t>
      </w:r>
      <w:r w:rsidRPr="00CD4735">
        <w:t>% (производство остановлено, имущественный комплекс выставлен на торги).</w:t>
      </w:r>
    </w:p>
    <w:p w:rsidR="00FC24EA" w:rsidRPr="00CD4735" w:rsidRDefault="00FC24EA" w:rsidP="00FC24EA">
      <w:pPr>
        <w:ind w:firstLine="708"/>
        <w:jc w:val="both"/>
      </w:pPr>
      <w:r w:rsidRPr="00CD4735">
        <w:t xml:space="preserve">Производство молока в хозяйствах всех категорий составило </w:t>
      </w:r>
      <w:r w:rsidR="009D2D65" w:rsidRPr="00CD4735">
        <w:t>406,6</w:t>
      </w:r>
      <w:r w:rsidRPr="00CD4735">
        <w:t xml:space="preserve"> тыс. тонн, что на 3,</w:t>
      </w:r>
      <w:r w:rsidR="009D2D65" w:rsidRPr="00CD4735">
        <w:t>4</w:t>
      </w:r>
      <w:r w:rsidRPr="00CD4735">
        <w:t>% больше, чем в январе-</w:t>
      </w:r>
      <w:r w:rsidR="009D2D65" w:rsidRPr="00CD4735">
        <w:t>н</w:t>
      </w:r>
      <w:r w:rsidR="004D1616" w:rsidRPr="00CD4735">
        <w:t>о</w:t>
      </w:r>
      <w:r w:rsidR="005C12B8" w:rsidRPr="00CD4735">
        <w:t>ябре</w:t>
      </w:r>
      <w:r w:rsidRPr="00CD4735">
        <w:t xml:space="preserve"> 2019 г. Производство молока в фермерских хозяйствах и </w:t>
      </w:r>
      <w:r w:rsidR="002F1820" w:rsidRPr="00CD4735">
        <w:t xml:space="preserve">у </w:t>
      </w:r>
      <w:r w:rsidRPr="00CD4735">
        <w:t>индивидуальных предпринимателей увеличилось на 13,</w:t>
      </w:r>
      <w:r w:rsidR="009D2D65" w:rsidRPr="00CD4735">
        <w:t>2</w:t>
      </w:r>
      <w:r w:rsidRPr="00CD4735">
        <w:t>%, в сельскохозяй</w:t>
      </w:r>
      <w:r w:rsidR="002F1820" w:rsidRPr="00CD4735">
        <w:t xml:space="preserve">ственных организациях – на </w:t>
      </w:r>
      <w:r w:rsidR="009D2D65" w:rsidRPr="00CD4735">
        <w:t>8,6</w:t>
      </w:r>
      <w:r w:rsidR="002F1820" w:rsidRPr="00CD4735">
        <w:t>%, в</w:t>
      </w:r>
      <w:r w:rsidR="002F1820" w:rsidRPr="00CD4735">
        <w:rPr>
          <w:lang w:val="en-US"/>
        </w:rPr>
        <w:t> </w:t>
      </w:r>
      <w:r w:rsidR="002F1820" w:rsidRPr="00CD4735">
        <w:t>хозяйствах населения уменьшилось на</w:t>
      </w:r>
      <w:r w:rsidR="005C12B8" w:rsidRPr="00CD4735">
        <w:t> 1</w:t>
      </w:r>
      <w:r w:rsidR="009D2D65" w:rsidRPr="00CD4735">
        <w:t>,1</w:t>
      </w:r>
      <w:r w:rsidR="002F1820" w:rsidRPr="00CD4735">
        <w:t xml:space="preserve">%. </w:t>
      </w:r>
    </w:p>
    <w:p w:rsidR="00FC24EA" w:rsidRPr="00CD4735" w:rsidRDefault="00FC24EA" w:rsidP="00FC24EA">
      <w:pPr>
        <w:ind w:firstLine="708"/>
        <w:jc w:val="both"/>
      </w:pPr>
      <w:r w:rsidRPr="00CD4735">
        <w:t xml:space="preserve">Производство яиц в хозяйствах всех категорий составило </w:t>
      </w:r>
      <w:r w:rsidR="00826A70" w:rsidRPr="00CD4735">
        <w:t>272,8</w:t>
      </w:r>
      <w:r w:rsidR="00CC2074" w:rsidRPr="00CD4735">
        <w:t xml:space="preserve"> </w:t>
      </w:r>
      <w:r w:rsidRPr="00CD4735">
        <w:t>млн. штук, что на </w:t>
      </w:r>
      <w:r w:rsidR="00CC2074" w:rsidRPr="00CD4735">
        <w:t>6</w:t>
      </w:r>
      <w:r w:rsidR="00826A70" w:rsidRPr="00CD4735">
        <w:t>,7</w:t>
      </w:r>
      <w:r w:rsidRPr="00CD4735">
        <w:t>% больше, чем в январе-</w:t>
      </w:r>
      <w:r w:rsidR="00826A70" w:rsidRPr="00CD4735">
        <w:t>но</w:t>
      </w:r>
      <w:r w:rsidR="005C12B8" w:rsidRPr="00CD4735">
        <w:t>ябре</w:t>
      </w:r>
      <w:r w:rsidRPr="00CD4735">
        <w:t xml:space="preserve"> 2019 г., рост производства произошел за счет увеличения производства яиц</w:t>
      </w:r>
      <w:r w:rsidR="005C12B8" w:rsidRPr="00CD4735">
        <w:t xml:space="preserve"> в</w:t>
      </w:r>
      <w:r w:rsidRPr="00CD4735">
        <w:t xml:space="preserve"> </w:t>
      </w:r>
      <w:r w:rsidR="005C12B8" w:rsidRPr="00CD4735">
        <w:t>фермерских хозяйствах и у индивидуальных предпринимателей</w:t>
      </w:r>
      <w:r w:rsidRPr="00CD4735">
        <w:t xml:space="preserve"> – на </w:t>
      </w:r>
      <w:r w:rsidR="00826A70" w:rsidRPr="00CD4735">
        <w:t>20,8</w:t>
      </w:r>
      <w:r w:rsidRPr="00CD4735">
        <w:t xml:space="preserve">%, в сельскохозяйственных организациях – на </w:t>
      </w:r>
      <w:r w:rsidR="00826A70" w:rsidRPr="00CD4735">
        <w:t>7,1</w:t>
      </w:r>
      <w:r w:rsidRPr="00CD4735">
        <w:t xml:space="preserve">%, а также в хозяйствах населения – на </w:t>
      </w:r>
      <w:r w:rsidR="005C12B8" w:rsidRPr="00CD4735">
        <w:t>3</w:t>
      </w:r>
      <w:r w:rsidRPr="00CD4735">
        <w:t>,</w:t>
      </w:r>
      <w:r w:rsidR="00CC2074" w:rsidRPr="00CD4735">
        <w:t>3</w:t>
      </w:r>
      <w:r w:rsidRPr="00CD4735">
        <w:t>%.</w:t>
      </w:r>
    </w:p>
    <w:p w:rsidR="00617461" w:rsidRPr="00CD4735" w:rsidRDefault="00617461" w:rsidP="00617461">
      <w:pPr>
        <w:ind w:firstLine="709"/>
        <w:jc w:val="both"/>
      </w:pPr>
      <w:r w:rsidRPr="00CD4735">
        <w:t xml:space="preserve">По данным </w:t>
      </w:r>
      <w:proofErr w:type="spellStart"/>
      <w:r w:rsidRPr="00CD4735">
        <w:t>Чувашстата</w:t>
      </w:r>
      <w:proofErr w:type="spellEnd"/>
      <w:r w:rsidRPr="00CD4735">
        <w:t xml:space="preserve"> на 1 ноября 2020 года в хозяйствах всех категорий намолочено зерна (в первоначально-оприходованном весе) 969,5 тыс. тонн, </w:t>
      </w:r>
      <w:r w:rsidR="00B671F6" w:rsidRPr="00CD4735">
        <w:rPr>
          <w:bCs/>
        </w:rPr>
        <w:t xml:space="preserve">или 127,2% к соответствующей дате предыдущего года, </w:t>
      </w:r>
      <w:r w:rsidRPr="00CD4735">
        <w:t xml:space="preserve">накопано </w:t>
      </w:r>
      <w:r w:rsidR="00B671F6" w:rsidRPr="00CD4735">
        <w:t xml:space="preserve">342,7 тыс. тонн </w:t>
      </w:r>
      <w:r w:rsidRPr="00CD4735">
        <w:t xml:space="preserve">картофеля,  </w:t>
      </w:r>
      <w:r w:rsidR="00B671F6" w:rsidRPr="00CD4735">
        <w:rPr>
          <w:bCs/>
        </w:rPr>
        <w:t xml:space="preserve">или 77,0%, </w:t>
      </w:r>
      <w:r w:rsidRPr="00CD4735">
        <w:t>собрано 150,2 тыс. тонн овощей</w:t>
      </w:r>
      <w:r w:rsidR="00B671F6" w:rsidRPr="00CD4735">
        <w:t>,</w:t>
      </w:r>
      <w:r w:rsidR="00B671F6" w:rsidRPr="00CD4735">
        <w:rPr>
          <w:bCs/>
        </w:rPr>
        <w:t xml:space="preserve"> или 110,1%.</w:t>
      </w:r>
    </w:p>
    <w:p w:rsidR="00FC24EA" w:rsidRPr="00CD4735" w:rsidRDefault="00FC24EA" w:rsidP="00FC24EA">
      <w:pPr>
        <w:ind w:firstLine="709"/>
        <w:jc w:val="both"/>
      </w:pPr>
      <w:r w:rsidRPr="00CD4735">
        <w:t>Сельхозтоваропроизводителями республики предпринимаются меры для обеспечения импортозамещения и реализуются крупные инвестиционные проекты, предусматривающие:</w:t>
      </w:r>
    </w:p>
    <w:p w:rsidR="00FC24EA" w:rsidRPr="00CD4735" w:rsidRDefault="00FC24EA" w:rsidP="00FC24EA">
      <w:pPr>
        <w:ind w:firstLine="709"/>
        <w:jc w:val="both"/>
      </w:pPr>
      <w:r w:rsidRPr="00CD4735">
        <w:t>строительство тепличного комплекса «Новочебоксарский» площадью 22 га для выращивания овощной продукции защищенного грунта, ООО Тепличный комплекс «Новочебоксарский», Чебоксарский район (2 этап);</w:t>
      </w:r>
    </w:p>
    <w:p w:rsidR="00FC24EA" w:rsidRPr="00CD4735" w:rsidRDefault="00FC24EA" w:rsidP="00FC24EA">
      <w:pPr>
        <w:ind w:firstLine="709"/>
        <w:jc w:val="both"/>
      </w:pPr>
      <w:r w:rsidRPr="00CD4735">
        <w:t>расширение животноводческого комплекса по производству молока с содержанием до 1200 голов, ООО «ЧебоМилк», Чебоксарский район;</w:t>
      </w:r>
    </w:p>
    <w:p w:rsidR="00FC24EA" w:rsidRPr="00CD4735" w:rsidRDefault="00FC24EA" w:rsidP="00FC24EA">
      <w:pPr>
        <w:ind w:firstLine="709"/>
        <w:jc w:val="both"/>
      </w:pPr>
      <w:r w:rsidRPr="00CD4735">
        <w:t>строительство молочного комплекса на 600 голов, СХПК им. Кирова, Канашский район;</w:t>
      </w:r>
    </w:p>
    <w:p w:rsidR="00FC24EA" w:rsidRPr="00CD4735" w:rsidRDefault="00FC24EA" w:rsidP="00FC24EA">
      <w:pPr>
        <w:ind w:firstLine="709"/>
        <w:jc w:val="both"/>
      </w:pPr>
      <w:r w:rsidRPr="00CD4735">
        <w:t xml:space="preserve">строительство коровника на 400 голов и телятника на 350 голов, АО «Фирма </w:t>
      </w:r>
      <w:proofErr w:type="spellStart"/>
      <w:r w:rsidR="001F0B47">
        <w:t>Акконд</w:t>
      </w:r>
      <w:proofErr w:type="spellEnd"/>
      <w:r w:rsidR="001F0B47">
        <w:t xml:space="preserve">-Агро», </w:t>
      </w:r>
      <w:proofErr w:type="spellStart"/>
      <w:r w:rsidR="001F0B47">
        <w:t>Янтиковский</w:t>
      </w:r>
      <w:proofErr w:type="spellEnd"/>
      <w:r w:rsidR="001F0B47">
        <w:t xml:space="preserve"> район;</w:t>
      </w:r>
    </w:p>
    <w:p w:rsidR="006D3C93" w:rsidRPr="00CD4735" w:rsidRDefault="001F0B47" w:rsidP="00FC24EA">
      <w:pPr>
        <w:ind w:firstLine="709"/>
        <w:jc w:val="both"/>
      </w:pPr>
      <w:r w:rsidRPr="001F0B47">
        <w:t>строительство коровника</w:t>
      </w:r>
      <w:r>
        <w:t>,</w:t>
      </w:r>
      <w:r w:rsidRPr="001F0B47">
        <w:t xml:space="preserve"> СХПК «Ко</w:t>
      </w:r>
      <w:r>
        <w:t xml:space="preserve">минтерн», </w:t>
      </w:r>
      <w:proofErr w:type="spellStart"/>
      <w:r>
        <w:t>Красночетайский</w:t>
      </w:r>
      <w:proofErr w:type="spellEnd"/>
      <w:r>
        <w:t xml:space="preserve"> район.</w:t>
      </w:r>
    </w:p>
    <w:p w:rsidR="00B456D9" w:rsidRPr="00CD4735" w:rsidRDefault="00293967" w:rsidP="00B456D9">
      <w:pPr>
        <w:ind w:firstLine="709"/>
        <w:jc w:val="both"/>
      </w:pPr>
      <w:r w:rsidRPr="00CD4735">
        <w:rPr>
          <w:b/>
        </w:rPr>
        <w:lastRenderedPageBreak/>
        <w:t>Объем инвестиций в основной капитал</w:t>
      </w:r>
      <w:r w:rsidRPr="00CD4735">
        <w:t xml:space="preserve"> за счет всех источников финансирования </w:t>
      </w:r>
      <w:r w:rsidR="00A07863" w:rsidRPr="00CD4735">
        <w:t>за</w:t>
      </w:r>
      <w:r w:rsidR="00B456D9" w:rsidRPr="00CD4735">
        <w:t xml:space="preserve"> </w:t>
      </w:r>
      <w:r w:rsidR="007E5EAB" w:rsidRPr="00CD4735">
        <w:t xml:space="preserve">9 месяцев </w:t>
      </w:r>
      <w:r w:rsidR="00B456D9" w:rsidRPr="00CD4735">
        <w:t xml:space="preserve">2020 г. составил </w:t>
      </w:r>
      <w:r w:rsidR="007E5EAB" w:rsidRPr="00CD4735">
        <w:t>30,8</w:t>
      </w:r>
      <w:r w:rsidR="00B456D9" w:rsidRPr="00CD4735">
        <w:t xml:space="preserve"> млрд. руб</w:t>
      </w:r>
      <w:r w:rsidR="00376BBA" w:rsidRPr="00CD4735">
        <w:t>лей</w:t>
      </w:r>
      <w:r w:rsidR="00B456D9" w:rsidRPr="00CD4735">
        <w:t xml:space="preserve"> или </w:t>
      </w:r>
      <w:r w:rsidR="007E5EAB" w:rsidRPr="00CD4735">
        <w:t>77,0</w:t>
      </w:r>
      <w:r w:rsidR="00B456D9" w:rsidRPr="00CD4735">
        <w:t>% (по России</w:t>
      </w:r>
      <w:r w:rsidR="00012BD7" w:rsidRPr="00CD4735">
        <w:t> </w:t>
      </w:r>
      <w:r w:rsidR="00B456D9" w:rsidRPr="00CD4735">
        <w:t xml:space="preserve">– </w:t>
      </w:r>
      <w:r w:rsidR="00657A28" w:rsidRPr="00CD4735">
        <w:t>95,9</w:t>
      </w:r>
      <w:r w:rsidR="00B456D9" w:rsidRPr="00CD4735">
        <w:t>%) к</w:t>
      </w:r>
      <w:r w:rsidR="00E872F0" w:rsidRPr="00CD4735">
        <w:t xml:space="preserve"> соответствующему периоду </w:t>
      </w:r>
      <w:r w:rsidR="00B456D9" w:rsidRPr="00CD4735">
        <w:t>2019 г. (в сопоставимых ценах).</w:t>
      </w:r>
    </w:p>
    <w:p w:rsidR="00B456D9" w:rsidRPr="00CD4735" w:rsidRDefault="00B456D9" w:rsidP="00B456D9">
      <w:pPr>
        <w:ind w:firstLine="709"/>
        <w:jc w:val="both"/>
      </w:pPr>
      <w:r w:rsidRPr="00CD4735">
        <w:t xml:space="preserve">Из общего объема инвестиций в основной капитал </w:t>
      </w:r>
      <w:r w:rsidR="007E5EAB" w:rsidRPr="00CD4735">
        <w:t>19,3</w:t>
      </w:r>
      <w:r w:rsidRPr="00CD4735">
        <w:t xml:space="preserve"> млрд. руб</w:t>
      </w:r>
      <w:r w:rsidR="00376BBA" w:rsidRPr="00CD4735">
        <w:t>лей</w:t>
      </w:r>
      <w:r w:rsidRPr="00CD4735">
        <w:t xml:space="preserve"> (62,9%) приходилось на долю организаций, не относящихся к субъектам малого предпринимательства.</w:t>
      </w:r>
    </w:p>
    <w:p w:rsidR="00C6509B" w:rsidRPr="00CD4735" w:rsidRDefault="00C6509B" w:rsidP="00C6509B">
      <w:pPr>
        <w:ind w:firstLine="708"/>
        <w:jc w:val="both"/>
      </w:pPr>
      <w:proofErr w:type="gramStart"/>
      <w:r w:rsidRPr="00CD4735">
        <w:t xml:space="preserve">На строительство, расширение, техперевооружение и реконструкцию жилых зданий и помещений </w:t>
      </w:r>
      <w:r w:rsidR="00293967" w:rsidRPr="00CD4735">
        <w:t xml:space="preserve">было направлено </w:t>
      </w:r>
      <w:r w:rsidR="007E5EAB" w:rsidRPr="00CD4735">
        <w:t>8868,3</w:t>
      </w:r>
      <w:r w:rsidR="000F3475" w:rsidRPr="00CD4735">
        <w:t xml:space="preserve"> млн</w:t>
      </w:r>
      <w:r w:rsidRPr="00CD4735">
        <w:t>. рублей (</w:t>
      </w:r>
      <w:r w:rsidR="007E5EAB" w:rsidRPr="00CD4735">
        <w:t>28,8</w:t>
      </w:r>
      <w:r w:rsidRPr="00CD4735">
        <w:t xml:space="preserve">% от общего объема инвестиций), зданий (кроме жилых) и сооружений, на улучшение земель – </w:t>
      </w:r>
      <w:r w:rsidR="007E5EAB" w:rsidRPr="00CD4735">
        <w:t>10566,0</w:t>
      </w:r>
      <w:r w:rsidRPr="00CD4735">
        <w:t> мл</w:t>
      </w:r>
      <w:r w:rsidR="000F3475" w:rsidRPr="00CD4735">
        <w:t>н</w:t>
      </w:r>
      <w:r w:rsidRPr="00CD4735">
        <w:t>. рублей (</w:t>
      </w:r>
      <w:r w:rsidR="009614EA" w:rsidRPr="00CD4735">
        <w:t>3</w:t>
      </w:r>
      <w:r w:rsidR="006F3E46" w:rsidRPr="00CD4735">
        <w:t>4</w:t>
      </w:r>
      <w:r w:rsidRPr="00CD4735">
        <w:t>,</w:t>
      </w:r>
      <w:r w:rsidR="006F3E46" w:rsidRPr="00CD4735">
        <w:t>3</w:t>
      </w:r>
      <w:r w:rsidRPr="00CD4735">
        <w:t>%), на приобретение машин, оборудования, включая хозяйственны</w:t>
      </w:r>
      <w:r w:rsidR="00293967" w:rsidRPr="00CD4735">
        <w:t>й</w:t>
      </w:r>
      <w:r w:rsidR="006F5DD3" w:rsidRPr="00CD4735">
        <w:t xml:space="preserve"> инвентарь и другие объекты – </w:t>
      </w:r>
      <w:r w:rsidR="006F3E46" w:rsidRPr="00CD4735">
        <w:t>10321,3</w:t>
      </w:r>
      <w:r w:rsidRPr="00CD4735">
        <w:t xml:space="preserve"> мл</w:t>
      </w:r>
      <w:r w:rsidR="000F3475" w:rsidRPr="00CD4735">
        <w:t>н</w:t>
      </w:r>
      <w:r w:rsidRPr="00CD4735">
        <w:t>. рублей (</w:t>
      </w:r>
      <w:r w:rsidR="006F3E46" w:rsidRPr="00CD4735">
        <w:t>33,5</w:t>
      </w:r>
      <w:r w:rsidRPr="00CD4735">
        <w:t>%), объекты ин</w:t>
      </w:r>
      <w:r w:rsidR="00B965CF" w:rsidRPr="00CD4735">
        <w:t xml:space="preserve">теллектуальной собственности – </w:t>
      </w:r>
      <w:r w:rsidR="006F3E46" w:rsidRPr="00CD4735">
        <w:t>732,2</w:t>
      </w:r>
      <w:r w:rsidRPr="00CD4735">
        <w:t xml:space="preserve"> мл</w:t>
      </w:r>
      <w:r w:rsidR="000F3475" w:rsidRPr="00CD4735">
        <w:t>н</w:t>
      </w:r>
      <w:r w:rsidRPr="00CD4735">
        <w:t>. рублей (2,</w:t>
      </w:r>
      <w:r w:rsidR="006F3E46" w:rsidRPr="00CD4735">
        <w:t>4</w:t>
      </w:r>
      <w:r w:rsidRPr="00CD4735">
        <w:t xml:space="preserve">%) и на возмещение прочих затрат – </w:t>
      </w:r>
      <w:r w:rsidR="006F3E46" w:rsidRPr="00CD4735">
        <w:t>277,4</w:t>
      </w:r>
      <w:r w:rsidRPr="00CD4735">
        <w:t xml:space="preserve"> мл</w:t>
      </w:r>
      <w:r w:rsidR="000F3475" w:rsidRPr="00CD4735">
        <w:t>н</w:t>
      </w:r>
      <w:proofErr w:type="gramEnd"/>
      <w:r w:rsidRPr="00CD4735">
        <w:t>. рубл</w:t>
      </w:r>
      <w:r w:rsidR="00293967" w:rsidRPr="00CD4735">
        <w:t>ей (0</w:t>
      </w:r>
      <w:r w:rsidRPr="00CD4735">
        <w:t>,</w:t>
      </w:r>
      <w:r w:rsidR="009614EA" w:rsidRPr="00CD4735">
        <w:t>9</w:t>
      </w:r>
      <w:r w:rsidRPr="00CD4735">
        <w:t>%).</w:t>
      </w:r>
    </w:p>
    <w:p w:rsidR="00C6509B" w:rsidRPr="00CD4735" w:rsidRDefault="00C6509B" w:rsidP="00C6509B">
      <w:pPr>
        <w:ind w:firstLine="708"/>
        <w:jc w:val="both"/>
      </w:pPr>
      <w:r w:rsidRPr="00CD4735">
        <w:t>Продолжается реализация следующих инвестиционных проектов:</w:t>
      </w:r>
    </w:p>
    <w:p w:rsidR="00C6509B" w:rsidRPr="00CD4735" w:rsidRDefault="00C6509B" w:rsidP="00C6509B">
      <w:pPr>
        <w:shd w:val="clear" w:color="auto" w:fill="FFFFFF"/>
        <w:ind w:firstLine="709"/>
        <w:jc w:val="both"/>
        <w:rPr>
          <w:bCs/>
        </w:rPr>
      </w:pPr>
      <w:r w:rsidRPr="00CD4735">
        <w:rPr>
          <w:bCs/>
        </w:rPr>
        <w:t>расширение производства электротехнического оборудования, ООО «НПП Бреслер»;</w:t>
      </w:r>
    </w:p>
    <w:p w:rsidR="00C6509B" w:rsidRPr="00CD4735" w:rsidRDefault="00C6509B" w:rsidP="00C650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lang w:eastAsia="x-none"/>
        </w:rPr>
      </w:pPr>
      <w:r w:rsidRPr="00CD4735">
        <w:rPr>
          <w:lang w:eastAsia="x-none"/>
        </w:rPr>
        <w:t xml:space="preserve">строительство логистического Центра инфраструктуры индустриального парка торговой марки «АБАТ», </w:t>
      </w:r>
      <w:r w:rsidRPr="00CD4735">
        <w:rPr>
          <w:bCs/>
          <w:lang w:eastAsia="x-none"/>
        </w:rPr>
        <w:t>АО «Чувашторгтехника»;</w:t>
      </w:r>
    </w:p>
    <w:p w:rsidR="00C6509B" w:rsidRPr="00CD4735" w:rsidRDefault="00C6509B" w:rsidP="00C6509B">
      <w:pPr>
        <w:shd w:val="clear" w:color="auto" w:fill="FFFFFF"/>
        <w:ind w:firstLine="709"/>
        <w:jc w:val="both"/>
        <w:rPr>
          <w:bCs/>
        </w:rPr>
      </w:pPr>
      <w:r w:rsidRPr="00CD4735">
        <w:rPr>
          <w:bCs/>
        </w:rPr>
        <w:t xml:space="preserve">создание высокотехнологичного производства уплотнительных элементов для нефтегазодобывающей промышленности, АО «ЧПО им. В.И. Чапаева»; </w:t>
      </w:r>
    </w:p>
    <w:p w:rsidR="00C6509B" w:rsidRPr="00CD4735" w:rsidRDefault="00C6509B" w:rsidP="00C650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строительство завода объемно-блочного домостроения, ООО «Завод объемно-блочного домостроения»;</w:t>
      </w:r>
    </w:p>
    <w:p w:rsidR="00C6509B" w:rsidRPr="00CD4735" w:rsidRDefault="00C6509B" w:rsidP="00C650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 xml:space="preserve">строительство высокотехнологичного завода по производству стальных дверей под маркой «BERSERKER» на территории индустриального парка г. Чебоксары, </w:t>
      </w:r>
      <w:r w:rsidRPr="00CD4735">
        <w:rPr>
          <w:bCs/>
          <w:lang w:eastAsia="x-none"/>
        </w:rPr>
        <w:t>ООО</w:t>
      </w:r>
      <w:r w:rsidR="00F76416" w:rsidRPr="00CD4735">
        <w:rPr>
          <w:bCs/>
          <w:lang w:eastAsia="x-none"/>
        </w:rPr>
        <w:t> </w:t>
      </w:r>
      <w:r w:rsidRPr="00CD4735">
        <w:rPr>
          <w:bCs/>
          <w:lang w:eastAsia="x-none"/>
        </w:rPr>
        <w:t>«БКР»;</w:t>
      </w:r>
    </w:p>
    <w:p w:rsidR="00C6509B" w:rsidRPr="00CD4735" w:rsidRDefault="00C6509B" w:rsidP="00C650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 xml:space="preserve">строительство производства коммерческого машиностроения на территории индустриального парка в г. Канаше, </w:t>
      </w:r>
      <w:r w:rsidR="00290D74" w:rsidRPr="00CD4735">
        <w:rPr>
          <w:bCs/>
          <w:lang w:eastAsia="x-none"/>
        </w:rPr>
        <w:t>ООО «Аркто»;</w:t>
      </w:r>
    </w:p>
    <w:p w:rsidR="009F0839" w:rsidRPr="00CD4735" w:rsidRDefault="00290D74" w:rsidP="009F08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у</w:t>
      </w:r>
      <w:r w:rsidR="009F0839" w:rsidRPr="00CD4735">
        <w:rPr>
          <w:lang w:eastAsia="x-none"/>
        </w:rPr>
        <w:t>величение производительности технологической линии завод</w:t>
      </w:r>
      <w:proofErr w:type="gramStart"/>
      <w:r w:rsidR="009F0839" w:rsidRPr="00CD4735">
        <w:rPr>
          <w:lang w:eastAsia="x-none"/>
        </w:rPr>
        <w:t>а</w:t>
      </w:r>
      <w:r w:rsidR="00921893" w:rsidRPr="00CD4735">
        <w:rPr>
          <w:lang w:eastAsia="x-none"/>
        </w:rPr>
        <w:t xml:space="preserve"> </w:t>
      </w:r>
      <w:r w:rsidR="009F0839" w:rsidRPr="00CD4735">
        <w:rPr>
          <w:lang w:eastAsia="x-none"/>
        </w:rPr>
        <w:t>ООО</w:t>
      </w:r>
      <w:proofErr w:type="gramEnd"/>
      <w:r w:rsidR="009F0839" w:rsidRPr="00CD4735">
        <w:rPr>
          <w:lang w:eastAsia="x-none"/>
        </w:rPr>
        <w:t xml:space="preserve"> «Хевел» в г.</w:t>
      </w:r>
      <w:r w:rsidRPr="00CD4735">
        <w:rPr>
          <w:lang w:eastAsia="x-none"/>
        </w:rPr>
        <w:t> </w:t>
      </w:r>
      <w:r w:rsidR="009F0839" w:rsidRPr="00CD4735">
        <w:rPr>
          <w:lang w:eastAsia="x-none"/>
        </w:rPr>
        <w:t>Новочебоксарске и расширение линейки выпускаемой продукции</w:t>
      </w:r>
      <w:r w:rsidRPr="00CD4735">
        <w:rPr>
          <w:lang w:eastAsia="x-none"/>
        </w:rPr>
        <w:t>;</w:t>
      </w:r>
    </w:p>
    <w:p w:rsidR="009F0839" w:rsidRPr="00CD4735" w:rsidRDefault="00290D74" w:rsidP="009F08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с</w:t>
      </w:r>
      <w:r w:rsidR="009F0839" w:rsidRPr="00CD4735">
        <w:rPr>
          <w:lang w:eastAsia="x-none"/>
        </w:rPr>
        <w:t>оздание нового производства пероксида водорода по антрахинонной технологии мощностью 50000 тонн/год на производственной площадке ООО «Волжская перекись», г. Новочебоксарск</w:t>
      </w:r>
      <w:r w:rsidRPr="00CD4735">
        <w:rPr>
          <w:lang w:eastAsia="x-none"/>
        </w:rPr>
        <w:t>;</w:t>
      </w:r>
    </w:p>
    <w:p w:rsidR="009F0839" w:rsidRPr="00CD4735" w:rsidRDefault="00290D74" w:rsidP="009F08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р</w:t>
      </w:r>
      <w:r w:rsidR="009F0839" w:rsidRPr="00CD4735">
        <w:rPr>
          <w:lang w:eastAsia="x-none"/>
        </w:rPr>
        <w:t>азработка отказоустойчивых мультиагентных автоматизированных систем управления технологическими процессами, АО «ЭЛАРА», г. Чебоксары</w:t>
      </w:r>
      <w:r w:rsidRPr="00CD4735">
        <w:rPr>
          <w:lang w:eastAsia="x-none"/>
        </w:rPr>
        <w:t>;</w:t>
      </w:r>
    </w:p>
    <w:p w:rsidR="009F0839" w:rsidRPr="00CD4735" w:rsidRDefault="00290D74" w:rsidP="009F08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м</w:t>
      </w:r>
      <w:r w:rsidR="009F0839" w:rsidRPr="00CD4735">
        <w:rPr>
          <w:lang w:eastAsia="x-none"/>
        </w:rPr>
        <w:t>одернизация произво</w:t>
      </w:r>
      <w:proofErr w:type="gramStart"/>
      <w:r w:rsidR="009F0839" w:rsidRPr="00CD4735">
        <w:rPr>
          <w:lang w:eastAsia="x-none"/>
        </w:rPr>
        <w:t>дств кр</w:t>
      </w:r>
      <w:proofErr w:type="gramEnd"/>
      <w:r w:rsidR="009F0839" w:rsidRPr="00CD4735">
        <w:rPr>
          <w:lang w:eastAsia="x-none"/>
        </w:rPr>
        <w:t xml:space="preserve">емнийорганического комплекса с увеличением выпуска товарной продукции, </w:t>
      </w:r>
      <w:r w:rsidR="00012BD7" w:rsidRPr="00CD4735">
        <w:rPr>
          <w:lang w:eastAsia="x-none"/>
        </w:rPr>
        <w:t xml:space="preserve">ПАО «Химпром», </w:t>
      </w:r>
      <w:r w:rsidR="009F0839" w:rsidRPr="00CD4735">
        <w:rPr>
          <w:lang w:eastAsia="x-none"/>
        </w:rPr>
        <w:t>г. Новочебоксарск</w:t>
      </w:r>
      <w:r w:rsidRPr="00CD4735">
        <w:rPr>
          <w:lang w:eastAsia="x-none"/>
        </w:rPr>
        <w:t>;</w:t>
      </w:r>
    </w:p>
    <w:p w:rsidR="009F0839" w:rsidRPr="00CD4735" w:rsidRDefault="00290D74" w:rsidP="009F08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CD4735">
        <w:rPr>
          <w:lang w:eastAsia="x-none"/>
        </w:rPr>
        <w:t>р</w:t>
      </w:r>
      <w:r w:rsidR="009F0839" w:rsidRPr="00CD4735">
        <w:rPr>
          <w:lang w:eastAsia="x-none"/>
        </w:rPr>
        <w:t>еконструкции сектора внутренних воздушных линий здания аэровокзала международного аэропорта «Чебоксары» (аэровокзала на 100 мест), ООО «МАЧ»</w:t>
      </w:r>
      <w:r w:rsidRPr="00CD4735">
        <w:rPr>
          <w:lang w:eastAsia="x-none"/>
        </w:rPr>
        <w:t xml:space="preserve"> и ряд других.</w:t>
      </w:r>
    </w:p>
    <w:p w:rsidR="00290D74" w:rsidRPr="00CD4735" w:rsidRDefault="00290D74" w:rsidP="00C6509B">
      <w:pPr>
        <w:ind w:firstLine="709"/>
        <w:jc w:val="both"/>
        <w:rPr>
          <w:b/>
        </w:rPr>
      </w:pPr>
    </w:p>
    <w:p w:rsidR="00C6509B" w:rsidRPr="00CD4735" w:rsidRDefault="00C6509B" w:rsidP="00C6509B">
      <w:pPr>
        <w:ind w:firstLine="709"/>
        <w:jc w:val="both"/>
        <w:rPr>
          <w:bCs/>
        </w:rPr>
      </w:pPr>
      <w:r w:rsidRPr="00CD4735">
        <w:rPr>
          <w:b/>
        </w:rPr>
        <w:t xml:space="preserve">Объем работ по виду деятельности «строительство» </w:t>
      </w:r>
      <w:r w:rsidRPr="00CD4735">
        <w:t>в</w:t>
      </w:r>
      <w:r w:rsidR="00382454" w:rsidRPr="00CD4735">
        <w:t xml:space="preserve"> </w:t>
      </w:r>
      <w:r w:rsidR="004D0792" w:rsidRPr="00CD4735">
        <w:rPr>
          <w:bCs/>
          <w:iCs/>
        </w:rPr>
        <w:t>январе-</w:t>
      </w:r>
      <w:r w:rsidR="00836358" w:rsidRPr="00CD4735">
        <w:rPr>
          <w:bCs/>
          <w:iCs/>
        </w:rPr>
        <w:t>но</w:t>
      </w:r>
      <w:r w:rsidR="005C5C26" w:rsidRPr="00CD4735">
        <w:rPr>
          <w:bCs/>
          <w:iCs/>
        </w:rPr>
        <w:t>ябре</w:t>
      </w:r>
      <w:r w:rsidR="007F7289" w:rsidRPr="00CD4735">
        <w:rPr>
          <w:bCs/>
          <w:iCs/>
        </w:rPr>
        <w:t xml:space="preserve"> </w:t>
      </w:r>
      <w:r w:rsidR="00382454" w:rsidRPr="00CD4735">
        <w:t>2020</w:t>
      </w:r>
      <w:r w:rsidRPr="00CD4735">
        <w:t xml:space="preserve"> г. составил </w:t>
      </w:r>
      <w:r w:rsidR="00836358" w:rsidRPr="00CD4735">
        <w:t>31,1</w:t>
      </w:r>
      <w:r w:rsidR="000705BE" w:rsidRPr="00CD4735">
        <w:t xml:space="preserve"> </w:t>
      </w:r>
      <w:r w:rsidRPr="00CD4735">
        <w:t xml:space="preserve">млрд. рублей, или </w:t>
      </w:r>
      <w:r w:rsidR="009744D7" w:rsidRPr="00CD4735">
        <w:t>10</w:t>
      </w:r>
      <w:r w:rsidR="000705BE" w:rsidRPr="00CD4735">
        <w:t>3</w:t>
      </w:r>
      <w:r w:rsidR="009744D7" w:rsidRPr="00CD4735">
        <w:t>,</w:t>
      </w:r>
      <w:r w:rsidR="00836358" w:rsidRPr="00CD4735">
        <w:t>3</w:t>
      </w:r>
      <w:r w:rsidRPr="00CD4735">
        <w:rPr>
          <w:bCs/>
        </w:rPr>
        <w:t xml:space="preserve">% </w:t>
      </w:r>
      <w:r w:rsidRPr="00CD4735">
        <w:t xml:space="preserve">(по России </w:t>
      </w:r>
      <w:r w:rsidR="00097C3D" w:rsidRPr="00CD4735">
        <w:t xml:space="preserve">– </w:t>
      </w:r>
      <w:r w:rsidR="00A508C1" w:rsidRPr="00CD4735">
        <w:t>99,</w:t>
      </w:r>
      <w:r w:rsidR="00BE1EDC" w:rsidRPr="00CD4735">
        <w:t>7</w:t>
      </w:r>
      <w:r w:rsidRPr="00CD4735">
        <w:t xml:space="preserve">%) к </w:t>
      </w:r>
      <w:r w:rsidR="00F84780" w:rsidRPr="00CD4735">
        <w:t xml:space="preserve">соответствующему периоду </w:t>
      </w:r>
      <w:r w:rsidR="00132BE9" w:rsidRPr="00CD4735">
        <w:t>201</w:t>
      </w:r>
      <w:r w:rsidR="00382454" w:rsidRPr="00CD4735">
        <w:t>9</w:t>
      </w:r>
      <w:r w:rsidR="00132BE9" w:rsidRPr="00CD4735">
        <w:t xml:space="preserve"> </w:t>
      </w:r>
      <w:r w:rsidRPr="00CD4735">
        <w:t>г.</w:t>
      </w:r>
      <w:r w:rsidRPr="00CD4735">
        <w:rPr>
          <w:bCs/>
        </w:rPr>
        <w:t xml:space="preserve"> </w:t>
      </w:r>
    </w:p>
    <w:p w:rsidR="00A16607" w:rsidRPr="00CD4735" w:rsidRDefault="00C6509B" w:rsidP="005334C8">
      <w:pPr>
        <w:ind w:firstLine="709"/>
        <w:jc w:val="both"/>
        <w:rPr>
          <w:bCs/>
        </w:rPr>
      </w:pPr>
      <w:r w:rsidRPr="00CD4735">
        <w:rPr>
          <w:bCs/>
        </w:rPr>
        <w:t>За счет всех источников финансирования в</w:t>
      </w:r>
      <w:r w:rsidR="009468FC" w:rsidRPr="00CD4735">
        <w:t xml:space="preserve"> </w:t>
      </w:r>
      <w:r w:rsidR="004D0792" w:rsidRPr="00CD4735">
        <w:rPr>
          <w:bCs/>
        </w:rPr>
        <w:t>январе-</w:t>
      </w:r>
      <w:r w:rsidR="00E632FF" w:rsidRPr="00CD4735">
        <w:rPr>
          <w:bCs/>
        </w:rPr>
        <w:t>но</w:t>
      </w:r>
      <w:r w:rsidR="009744D7" w:rsidRPr="00CD4735">
        <w:rPr>
          <w:bCs/>
        </w:rPr>
        <w:t>ябре</w:t>
      </w:r>
      <w:r w:rsidR="00382454" w:rsidRPr="00CD4735">
        <w:rPr>
          <w:bCs/>
        </w:rPr>
        <w:t xml:space="preserve"> 2020</w:t>
      </w:r>
      <w:r w:rsidRPr="00CD4735">
        <w:rPr>
          <w:bCs/>
        </w:rPr>
        <w:t xml:space="preserve"> г. введено в эксплуатацию</w:t>
      </w:r>
      <w:r w:rsidR="005D2B2B" w:rsidRPr="00CD4735">
        <w:rPr>
          <w:bCs/>
        </w:rPr>
        <w:t xml:space="preserve"> </w:t>
      </w:r>
      <w:r w:rsidR="00836358" w:rsidRPr="00CD4735">
        <w:rPr>
          <w:bCs/>
        </w:rPr>
        <w:t>475,4</w:t>
      </w:r>
      <w:r w:rsidR="005D2B2B" w:rsidRPr="00CD4735">
        <w:rPr>
          <w:bCs/>
        </w:rPr>
        <w:t> </w:t>
      </w:r>
      <w:r w:rsidRPr="00CD4735">
        <w:rPr>
          <w:bCs/>
        </w:rPr>
        <w:t>тыс. кв. метров общей площади жилья</w:t>
      </w:r>
      <w:r w:rsidR="00C53800" w:rsidRPr="00CD4735">
        <w:rPr>
          <w:bCs/>
        </w:rPr>
        <w:t xml:space="preserve">, или </w:t>
      </w:r>
      <w:r w:rsidR="00836358" w:rsidRPr="00CD4735">
        <w:rPr>
          <w:bCs/>
        </w:rPr>
        <w:t>93,4</w:t>
      </w:r>
      <w:r w:rsidR="00097C3D" w:rsidRPr="00CD4735">
        <w:rPr>
          <w:bCs/>
        </w:rPr>
        <w:t>%</w:t>
      </w:r>
      <w:r w:rsidR="00DF3EBD" w:rsidRPr="00CD4735">
        <w:rPr>
          <w:bCs/>
        </w:rPr>
        <w:t xml:space="preserve"> (по России – </w:t>
      </w:r>
      <w:r w:rsidR="009F6103" w:rsidRPr="00CD4735">
        <w:rPr>
          <w:bCs/>
        </w:rPr>
        <w:t>101,4</w:t>
      </w:r>
      <w:r w:rsidR="00DF3EBD" w:rsidRPr="00CD4735">
        <w:rPr>
          <w:bCs/>
        </w:rPr>
        <w:t xml:space="preserve">%) </w:t>
      </w:r>
      <w:r w:rsidRPr="00CD4735">
        <w:rPr>
          <w:bCs/>
        </w:rPr>
        <w:t xml:space="preserve">к </w:t>
      </w:r>
      <w:r w:rsidR="00F84780" w:rsidRPr="00CD4735">
        <w:rPr>
          <w:bCs/>
          <w:iCs/>
        </w:rPr>
        <w:t>соответствующему периоду</w:t>
      </w:r>
      <w:r w:rsidR="00F84780" w:rsidRPr="00CD4735">
        <w:rPr>
          <w:bCs/>
        </w:rPr>
        <w:t xml:space="preserve"> </w:t>
      </w:r>
      <w:r w:rsidR="00382454" w:rsidRPr="00CD4735">
        <w:rPr>
          <w:bCs/>
        </w:rPr>
        <w:t>2019</w:t>
      </w:r>
      <w:r w:rsidR="00132BE9" w:rsidRPr="00CD4735">
        <w:rPr>
          <w:bCs/>
        </w:rPr>
        <w:t xml:space="preserve"> </w:t>
      </w:r>
      <w:r w:rsidRPr="00CD4735">
        <w:rPr>
          <w:bCs/>
        </w:rPr>
        <w:t xml:space="preserve">г. При этом индивидуальными застройщиками введено в эксплуатацию </w:t>
      </w:r>
      <w:r w:rsidR="00836358" w:rsidRPr="00CD4735">
        <w:rPr>
          <w:bCs/>
        </w:rPr>
        <w:t>136,6</w:t>
      </w:r>
      <w:r w:rsidR="00F831B1" w:rsidRPr="00CD4735">
        <w:rPr>
          <w:bCs/>
        </w:rPr>
        <w:t xml:space="preserve"> тыс. кв. м, или </w:t>
      </w:r>
      <w:r w:rsidR="00836358" w:rsidRPr="00CD4735">
        <w:rPr>
          <w:bCs/>
        </w:rPr>
        <w:t>104,4</w:t>
      </w:r>
      <w:r w:rsidRPr="00CD4735">
        <w:rPr>
          <w:bCs/>
        </w:rPr>
        <w:t>% к</w:t>
      </w:r>
      <w:r w:rsidR="00382454" w:rsidRPr="00CD4735">
        <w:rPr>
          <w:bCs/>
        </w:rPr>
        <w:t xml:space="preserve"> </w:t>
      </w:r>
      <w:r w:rsidR="00F84780" w:rsidRPr="00CD4735">
        <w:rPr>
          <w:bCs/>
          <w:iCs/>
        </w:rPr>
        <w:t>соответствующему периоду</w:t>
      </w:r>
      <w:r w:rsidR="00F84780" w:rsidRPr="00CD4735">
        <w:rPr>
          <w:bCs/>
        </w:rPr>
        <w:t xml:space="preserve"> </w:t>
      </w:r>
      <w:r w:rsidR="00382454" w:rsidRPr="00CD4735">
        <w:rPr>
          <w:bCs/>
        </w:rPr>
        <w:t>2019</w:t>
      </w:r>
      <w:r w:rsidR="00DF3EBD" w:rsidRPr="00CD4735">
        <w:rPr>
          <w:bCs/>
        </w:rPr>
        <w:t> </w:t>
      </w:r>
      <w:r w:rsidR="00AF073C" w:rsidRPr="00CD4735">
        <w:rPr>
          <w:bCs/>
        </w:rPr>
        <w:t>г</w:t>
      </w:r>
      <w:r w:rsidRPr="00CD4735">
        <w:rPr>
          <w:bCs/>
        </w:rPr>
        <w:t xml:space="preserve">. </w:t>
      </w:r>
    </w:p>
    <w:p w:rsidR="00AE29FF" w:rsidRPr="00CD4735" w:rsidRDefault="00AE29FF" w:rsidP="005334C8">
      <w:pPr>
        <w:ind w:firstLine="709"/>
        <w:jc w:val="both"/>
        <w:rPr>
          <w:bCs/>
        </w:rPr>
      </w:pPr>
    </w:p>
    <w:p w:rsidR="00F7161B" w:rsidRPr="00CD4735" w:rsidRDefault="00C6509B" w:rsidP="00BF733D">
      <w:pPr>
        <w:ind w:firstLine="708"/>
        <w:jc w:val="both"/>
      </w:pPr>
      <w:r w:rsidRPr="00CD4735">
        <w:rPr>
          <w:b/>
          <w:bCs/>
        </w:rPr>
        <w:t>Транспорт.</w:t>
      </w:r>
      <w:r w:rsidRPr="00CD4735">
        <w:rPr>
          <w:bCs/>
        </w:rPr>
        <w:t xml:space="preserve"> </w:t>
      </w:r>
      <w:proofErr w:type="gramStart"/>
      <w:r w:rsidR="00193395" w:rsidRPr="00CD4735">
        <w:t xml:space="preserve">Объем перевозок грузов и грузооборот грузовых автомобилей организаций всех видов деятельности, не относящихся к субъектам малого предпринимательства, средняя численность которых превышает 15 человек, в </w:t>
      </w:r>
      <w:r w:rsidR="00DE08A4" w:rsidRPr="00CD4735">
        <w:br/>
      </w:r>
      <w:r w:rsidR="00BE11AB" w:rsidRPr="00CD4735">
        <w:t>январе-</w:t>
      </w:r>
      <w:r w:rsidR="00E632FF" w:rsidRPr="00CD4735">
        <w:t>ноя</w:t>
      </w:r>
      <w:r w:rsidR="000B6ADB" w:rsidRPr="00CD4735">
        <w:t>бре</w:t>
      </w:r>
      <w:r w:rsidR="00DE08A4" w:rsidRPr="00CD4735">
        <w:t xml:space="preserve"> </w:t>
      </w:r>
      <w:r w:rsidR="00193395" w:rsidRPr="00CD4735">
        <w:t>20</w:t>
      </w:r>
      <w:r w:rsidR="00E044CE" w:rsidRPr="00CD4735">
        <w:t>20</w:t>
      </w:r>
      <w:r w:rsidR="00C2364B" w:rsidRPr="00CD4735">
        <w:t> г.</w:t>
      </w:r>
      <w:r w:rsidR="00193395" w:rsidRPr="00CD4735">
        <w:t xml:space="preserve"> составил</w:t>
      </w:r>
      <w:r w:rsidR="001B547F" w:rsidRPr="00CD4735">
        <w:t xml:space="preserve"> </w:t>
      </w:r>
      <w:r w:rsidR="00E632FF" w:rsidRPr="00CD4735">
        <w:t>3418,2</w:t>
      </w:r>
      <w:r w:rsidR="0014392F" w:rsidRPr="00CD4735">
        <w:t xml:space="preserve"> </w:t>
      </w:r>
      <w:r w:rsidR="00F7161B" w:rsidRPr="00CD4735">
        <w:t xml:space="preserve">тыс. тонн и </w:t>
      </w:r>
      <w:r w:rsidR="00E632FF" w:rsidRPr="00CD4735">
        <w:t>425,1</w:t>
      </w:r>
      <w:r w:rsidR="00F7161B" w:rsidRPr="00CD4735">
        <w:t xml:space="preserve"> млн. т-км, или, соответственно, </w:t>
      </w:r>
      <w:r w:rsidR="00E632FF" w:rsidRPr="00CD4735">
        <w:lastRenderedPageBreak/>
        <w:t>98,1</w:t>
      </w:r>
      <w:r w:rsidR="00F7161B" w:rsidRPr="00CD4735">
        <w:t xml:space="preserve">% и </w:t>
      </w:r>
      <w:r w:rsidR="00E632FF" w:rsidRPr="00CD4735">
        <w:t>135,1</w:t>
      </w:r>
      <w:r w:rsidR="00F7161B" w:rsidRPr="00CD4735">
        <w:t xml:space="preserve">% к уровню </w:t>
      </w:r>
      <w:r w:rsidR="00BE11AB" w:rsidRPr="00CD4735">
        <w:t>января-</w:t>
      </w:r>
      <w:r w:rsidR="00E632FF" w:rsidRPr="00CD4735">
        <w:t>но</w:t>
      </w:r>
      <w:r w:rsidR="000B6ADB" w:rsidRPr="00CD4735">
        <w:t>ября</w:t>
      </w:r>
      <w:r w:rsidR="00BE11AB" w:rsidRPr="00CD4735">
        <w:t xml:space="preserve"> </w:t>
      </w:r>
      <w:r w:rsidR="00C2364B" w:rsidRPr="00CD4735">
        <w:t>2019 г.</w:t>
      </w:r>
      <w:r w:rsidR="00F7161B" w:rsidRPr="00CD4735">
        <w:t xml:space="preserve">, в том числе организаций автомобильного транспорта – </w:t>
      </w:r>
      <w:r w:rsidR="00E632FF" w:rsidRPr="00CD4735">
        <w:t>373,6</w:t>
      </w:r>
      <w:r w:rsidR="00F7161B" w:rsidRPr="00CD4735">
        <w:t xml:space="preserve"> тыс. тонн</w:t>
      </w:r>
      <w:r w:rsidR="00D834B3" w:rsidRPr="00CD4735">
        <w:t>,</w:t>
      </w:r>
      <w:r w:rsidR="00F7161B" w:rsidRPr="00CD4735">
        <w:t xml:space="preserve"> или </w:t>
      </w:r>
      <w:r w:rsidR="00E632FF" w:rsidRPr="00CD4735">
        <w:t>128,6</w:t>
      </w:r>
      <w:r w:rsidR="00DE08A4" w:rsidRPr="00CD4735">
        <w:t xml:space="preserve">%, грузооборот – </w:t>
      </w:r>
      <w:r w:rsidR="00E632FF" w:rsidRPr="00CD4735">
        <w:t>244,8</w:t>
      </w:r>
      <w:r w:rsidR="00F7161B" w:rsidRPr="00CD4735">
        <w:t xml:space="preserve"> млн. т-км</w:t>
      </w:r>
      <w:proofErr w:type="gramEnd"/>
      <w:r w:rsidR="00F7161B" w:rsidRPr="00CD4735">
        <w:t xml:space="preserve">, что выше уровня </w:t>
      </w:r>
      <w:r w:rsidR="00BE11AB" w:rsidRPr="00CD4735">
        <w:t>января-</w:t>
      </w:r>
      <w:r w:rsidR="00E632FF" w:rsidRPr="00CD4735">
        <w:t>но</w:t>
      </w:r>
      <w:r w:rsidR="000B6ADB" w:rsidRPr="00CD4735">
        <w:t>ября</w:t>
      </w:r>
      <w:r w:rsidR="00F7161B" w:rsidRPr="00CD4735">
        <w:t xml:space="preserve"> 2019 г</w:t>
      </w:r>
      <w:r w:rsidR="00C2364B" w:rsidRPr="00CD4735">
        <w:t>.</w:t>
      </w:r>
      <w:r w:rsidR="00F7161B" w:rsidRPr="00CD4735">
        <w:t xml:space="preserve"> в </w:t>
      </w:r>
      <w:r w:rsidR="0014392F" w:rsidRPr="00CD4735">
        <w:t>1,</w:t>
      </w:r>
      <w:r w:rsidR="00E632FF" w:rsidRPr="00CD4735">
        <w:t>8</w:t>
      </w:r>
      <w:r w:rsidR="0014392F" w:rsidRPr="00CD4735">
        <w:t xml:space="preserve"> </w:t>
      </w:r>
      <w:r w:rsidR="00F7161B" w:rsidRPr="00CD4735">
        <w:t>раз.</w:t>
      </w:r>
    </w:p>
    <w:p w:rsidR="00A16607" w:rsidRPr="00CD4735" w:rsidRDefault="00276BF1" w:rsidP="005334C8">
      <w:pPr>
        <w:ind w:firstLine="708"/>
        <w:jc w:val="both"/>
      </w:pPr>
      <w:r w:rsidRPr="00CD4735">
        <w:t xml:space="preserve">Автобусами по маршрутам регулярных перевозок, включая маршрутные таксомоторы, в </w:t>
      </w:r>
      <w:r w:rsidR="00BE11AB" w:rsidRPr="00CD4735">
        <w:t>январе-</w:t>
      </w:r>
      <w:r w:rsidR="00E632FF" w:rsidRPr="00CD4735">
        <w:t>но</w:t>
      </w:r>
      <w:r w:rsidR="000B6ADB" w:rsidRPr="00CD4735">
        <w:t>ябре</w:t>
      </w:r>
      <w:r w:rsidR="00E04D87" w:rsidRPr="00CD4735">
        <w:t xml:space="preserve"> </w:t>
      </w:r>
      <w:r w:rsidRPr="00CD4735">
        <w:t>2020 г</w:t>
      </w:r>
      <w:r w:rsidR="00C2364B" w:rsidRPr="00CD4735">
        <w:t>.</w:t>
      </w:r>
      <w:r w:rsidRPr="00CD4735">
        <w:t xml:space="preserve"> перевезено </w:t>
      </w:r>
      <w:r w:rsidR="00E632FF" w:rsidRPr="00CD4735">
        <w:t>73</w:t>
      </w:r>
      <w:r w:rsidR="0014392F" w:rsidRPr="00CD4735">
        <w:t>,0</w:t>
      </w:r>
      <w:r w:rsidRPr="00CD4735">
        <w:t xml:space="preserve"> млн. человек, или </w:t>
      </w:r>
      <w:r w:rsidR="00E632FF" w:rsidRPr="00CD4735">
        <w:t>88,6</w:t>
      </w:r>
      <w:r w:rsidRPr="00CD4735">
        <w:t xml:space="preserve">% от уровня </w:t>
      </w:r>
      <w:r w:rsidR="00BE11AB" w:rsidRPr="00CD4735">
        <w:t>января-</w:t>
      </w:r>
      <w:r w:rsidR="00E632FF" w:rsidRPr="00CD4735">
        <w:t>но</w:t>
      </w:r>
      <w:r w:rsidR="000B6ADB" w:rsidRPr="00CD4735">
        <w:t>ября</w:t>
      </w:r>
      <w:r w:rsidR="00D834B3" w:rsidRPr="00CD4735">
        <w:t xml:space="preserve"> </w:t>
      </w:r>
      <w:r w:rsidRPr="00CD4735">
        <w:t>20</w:t>
      </w:r>
      <w:r w:rsidR="00DE08A4" w:rsidRPr="00CD4735">
        <w:t>19</w:t>
      </w:r>
      <w:r w:rsidRPr="00CD4735">
        <w:t xml:space="preserve"> г</w:t>
      </w:r>
      <w:r w:rsidR="00C2364B" w:rsidRPr="00CD4735">
        <w:t>.</w:t>
      </w:r>
      <w:r w:rsidRPr="00CD4735">
        <w:t xml:space="preserve">, пассажирооборот уменьшился на </w:t>
      </w:r>
      <w:r w:rsidR="00E632FF" w:rsidRPr="00CD4735">
        <w:t>9,8</w:t>
      </w:r>
      <w:r w:rsidRPr="00CD4735">
        <w:t xml:space="preserve">%. </w:t>
      </w:r>
    </w:p>
    <w:p w:rsidR="003B45C8" w:rsidRPr="00CD4735" w:rsidRDefault="003B45C8" w:rsidP="005334C8">
      <w:pPr>
        <w:ind w:firstLine="708"/>
        <w:jc w:val="both"/>
      </w:pPr>
    </w:p>
    <w:p w:rsidR="005334C8" w:rsidRPr="00CD4735" w:rsidRDefault="00C6509B" w:rsidP="005334C8">
      <w:pPr>
        <w:ind w:firstLine="708"/>
        <w:jc w:val="both"/>
      </w:pPr>
      <w:r w:rsidRPr="00CD4735">
        <w:rPr>
          <w:b/>
        </w:rPr>
        <w:t>Сальдированный финансовый результат</w:t>
      </w:r>
      <w:r w:rsidRPr="00CD4735">
        <w:t xml:space="preserve"> организаций (без субъектов малого предпринимательства, банков, страховых организаций и бюджетных учреждений) Чувашской Республики в</w:t>
      </w:r>
      <w:r w:rsidR="00E1088E" w:rsidRPr="00CD4735">
        <w:t xml:space="preserve"> январе</w:t>
      </w:r>
      <w:r w:rsidR="00D30E1F" w:rsidRPr="00CD4735">
        <w:t>-</w:t>
      </w:r>
      <w:r w:rsidR="00F93865">
        <w:t>ок</w:t>
      </w:r>
      <w:r w:rsidR="00E632FF" w:rsidRPr="00CD4735">
        <w:t>тябре</w:t>
      </w:r>
      <w:r w:rsidRPr="00CD4735">
        <w:t xml:space="preserve"> </w:t>
      </w:r>
      <w:r w:rsidR="003B45C8" w:rsidRPr="00CD4735">
        <w:t xml:space="preserve">2020 г. составил </w:t>
      </w:r>
      <w:r w:rsidR="00F93865">
        <w:t>19,7</w:t>
      </w:r>
      <w:r w:rsidRPr="00CD4735">
        <w:t xml:space="preserve"> млрд. руб</w:t>
      </w:r>
      <w:r w:rsidR="00CA1B89" w:rsidRPr="00CD4735">
        <w:t xml:space="preserve">лей </w:t>
      </w:r>
      <w:r w:rsidR="009E3780" w:rsidRPr="00CD4735">
        <w:t>убытка</w:t>
      </w:r>
      <w:r w:rsidR="00FC545D" w:rsidRPr="00CD4735">
        <w:t>.</w:t>
      </w:r>
    </w:p>
    <w:p w:rsidR="00C6509B" w:rsidRPr="00CD4735" w:rsidRDefault="00C6509B" w:rsidP="00C6509B">
      <w:pPr>
        <w:ind w:firstLine="708"/>
        <w:jc w:val="both"/>
      </w:pPr>
      <w:r w:rsidRPr="00CD4735">
        <w:t>В</w:t>
      </w:r>
      <w:r w:rsidR="00A23B5A" w:rsidRPr="00CD4735">
        <w:t xml:space="preserve"> январе</w:t>
      </w:r>
      <w:r w:rsidR="00D30E1F" w:rsidRPr="00CD4735">
        <w:t>-</w:t>
      </w:r>
      <w:r w:rsidR="00F93865">
        <w:t>ок</w:t>
      </w:r>
      <w:r w:rsidR="00E632FF" w:rsidRPr="00CD4735">
        <w:t>тябре</w:t>
      </w:r>
      <w:r w:rsidR="00A23B5A" w:rsidRPr="00CD4735">
        <w:t xml:space="preserve"> 2020</w:t>
      </w:r>
      <w:r w:rsidRPr="00CD4735">
        <w:t xml:space="preserve"> г. </w:t>
      </w:r>
      <w:r w:rsidR="005C43BD" w:rsidRPr="00CD4735">
        <w:t>10</w:t>
      </w:r>
      <w:r w:rsidR="00F93865">
        <w:t>9</w:t>
      </w:r>
      <w:r w:rsidRPr="00CD4735">
        <w:t xml:space="preserve"> организаци</w:t>
      </w:r>
      <w:r w:rsidR="00A23B5A" w:rsidRPr="00CD4735">
        <w:t>й</w:t>
      </w:r>
      <w:r w:rsidRPr="00CD4735">
        <w:t xml:space="preserve"> </w:t>
      </w:r>
      <w:r w:rsidR="009E3780" w:rsidRPr="00CD4735">
        <w:t>имели убыток</w:t>
      </w:r>
      <w:r w:rsidR="00ED3B2E" w:rsidRPr="00CD4735">
        <w:t xml:space="preserve"> </w:t>
      </w:r>
      <w:r w:rsidR="009E3780" w:rsidRPr="00CD4735">
        <w:t>на сумму</w:t>
      </w:r>
      <w:r w:rsidR="00A23B5A" w:rsidRPr="00CD4735">
        <w:t xml:space="preserve"> </w:t>
      </w:r>
      <w:r w:rsidR="00F93865">
        <w:t>41,1</w:t>
      </w:r>
      <w:r w:rsidR="008C4095" w:rsidRPr="00CD4735">
        <w:t> </w:t>
      </w:r>
      <w:r w:rsidR="008B4999" w:rsidRPr="00CD4735">
        <w:t>млрд. рублей</w:t>
      </w:r>
      <w:r w:rsidR="009E3780" w:rsidRPr="00CD4735">
        <w:t xml:space="preserve">, </w:t>
      </w:r>
      <w:r w:rsidR="005C43BD" w:rsidRPr="00CD4735">
        <w:t>2</w:t>
      </w:r>
      <w:r w:rsidR="00F93865">
        <w:t>87 организаций</w:t>
      </w:r>
      <w:r w:rsidR="009E3780" w:rsidRPr="00CD4735">
        <w:t xml:space="preserve"> получили прибыль в размере </w:t>
      </w:r>
      <w:r w:rsidR="00F93865">
        <w:t>21,4</w:t>
      </w:r>
      <w:r w:rsidR="009E3780" w:rsidRPr="00CD4735">
        <w:t xml:space="preserve"> млрд. рублей</w:t>
      </w:r>
      <w:r w:rsidR="008B4999" w:rsidRPr="00CD4735">
        <w:t xml:space="preserve">. </w:t>
      </w:r>
      <w:r w:rsidRPr="00CD4735">
        <w:t xml:space="preserve">Доля прибыльных организаций в общем числе организаций </w:t>
      </w:r>
      <w:r w:rsidR="00A23B5A" w:rsidRPr="00CD4735">
        <w:t xml:space="preserve">составила </w:t>
      </w:r>
      <w:r w:rsidR="00F40107" w:rsidRPr="00CD4735">
        <w:t>7</w:t>
      </w:r>
      <w:r w:rsidR="00F93865">
        <w:t>2</w:t>
      </w:r>
      <w:r w:rsidR="005C43BD" w:rsidRPr="00CD4735">
        <w:t>,</w:t>
      </w:r>
      <w:r w:rsidR="00F93865">
        <w:t>5</w:t>
      </w:r>
      <w:r w:rsidR="006C2F62" w:rsidRPr="00CD4735">
        <w:t>%</w:t>
      </w:r>
      <w:r w:rsidRPr="00CD4735">
        <w:t>, д</w:t>
      </w:r>
      <w:r w:rsidR="00A23B5A" w:rsidRPr="00CD4735">
        <w:t xml:space="preserve">оля убыточных организаций – </w:t>
      </w:r>
      <w:r w:rsidR="00B03DD2" w:rsidRPr="00CD4735">
        <w:t>2</w:t>
      </w:r>
      <w:r w:rsidR="00F93865">
        <w:t>7</w:t>
      </w:r>
      <w:r w:rsidR="005C43BD" w:rsidRPr="00CD4735">
        <w:t>,</w:t>
      </w:r>
      <w:r w:rsidR="00F93865">
        <w:t>5</w:t>
      </w:r>
      <w:r w:rsidR="00A23B5A" w:rsidRPr="00CD4735">
        <w:t>%.</w:t>
      </w:r>
    </w:p>
    <w:p w:rsidR="00A16607" w:rsidRPr="00CD4735" w:rsidRDefault="00A16607" w:rsidP="00C6509B">
      <w:pPr>
        <w:ind w:firstLine="708"/>
        <w:jc w:val="both"/>
      </w:pPr>
    </w:p>
    <w:p w:rsidR="00EA2567" w:rsidRPr="00CD4735" w:rsidRDefault="00EA2567" w:rsidP="00EA2567">
      <w:pPr>
        <w:ind w:firstLine="708"/>
        <w:jc w:val="both"/>
        <w:rPr>
          <w:bCs/>
        </w:rPr>
      </w:pPr>
      <w:proofErr w:type="gramStart"/>
      <w:r w:rsidRPr="00CD4735">
        <w:rPr>
          <w:b/>
          <w:bCs/>
        </w:rPr>
        <w:t xml:space="preserve">Общий оборот розничной торговли </w:t>
      </w:r>
      <w:r w:rsidRPr="00CD4735">
        <w:rPr>
          <w:bCs/>
        </w:rPr>
        <w:t xml:space="preserve">в </w:t>
      </w:r>
      <w:r w:rsidR="009269A6" w:rsidRPr="00CD4735">
        <w:rPr>
          <w:bCs/>
          <w:iCs/>
        </w:rPr>
        <w:t>январе-</w:t>
      </w:r>
      <w:r w:rsidR="00DC6A75" w:rsidRPr="00CD4735">
        <w:rPr>
          <w:bCs/>
          <w:iCs/>
        </w:rPr>
        <w:t>но</w:t>
      </w:r>
      <w:r w:rsidR="006365B1" w:rsidRPr="00CD4735">
        <w:rPr>
          <w:bCs/>
          <w:iCs/>
        </w:rPr>
        <w:t>ябре</w:t>
      </w:r>
      <w:r w:rsidRPr="00CD4735">
        <w:rPr>
          <w:bCs/>
          <w:iCs/>
        </w:rPr>
        <w:t xml:space="preserve"> </w:t>
      </w:r>
      <w:r w:rsidRPr="00CD4735">
        <w:rPr>
          <w:bCs/>
        </w:rPr>
        <w:t xml:space="preserve">2020 г. </w:t>
      </w:r>
      <w:r w:rsidR="00636EE4" w:rsidRPr="00CD4735">
        <w:rPr>
          <w:bCs/>
        </w:rPr>
        <w:t xml:space="preserve">составил </w:t>
      </w:r>
      <w:r w:rsidR="00DC6A75" w:rsidRPr="00CD4735">
        <w:rPr>
          <w:bCs/>
        </w:rPr>
        <w:t>145,8</w:t>
      </w:r>
      <w:r w:rsidR="00636EE4" w:rsidRPr="00CD4735">
        <w:rPr>
          <w:bCs/>
        </w:rPr>
        <w:t xml:space="preserve"> млрд. рублей, </w:t>
      </w:r>
      <w:r w:rsidR="00F63512" w:rsidRPr="00CD4735">
        <w:rPr>
          <w:bCs/>
        </w:rPr>
        <w:t xml:space="preserve">или </w:t>
      </w:r>
      <w:r w:rsidR="00DC6A75" w:rsidRPr="00CD4735">
        <w:rPr>
          <w:bCs/>
        </w:rPr>
        <w:t>9</w:t>
      </w:r>
      <w:r w:rsidR="004E2EDD" w:rsidRPr="00CD4735">
        <w:rPr>
          <w:bCs/>
        </w:rPr>
        <w:t>3</w:t>
      </w:r>
      <w:r w:rsidR="00DC6A75" w:rsidRPr="00CD4735">
        <w:rPr>
          <w:bCs/>
        </w:rPr>
        <w:t>,9</w:t>
      </w:r>
      <w:r w:rsidR="00F63512" w:rsidRPr="00CD4735">
        <w:rPr>
          <w:bCs/>
        </w:rPr>
        <w:t xml:space="preserve">% </w:t>
      </w:r>
      <w:r w:rsidRPr="00CD4735">
        <w:rPr>
          <w:bCs/>
        </w:rPr>
        <w:t xml:space="preserve">(по России – </w:t>
      </w:r>
      <w:r w:rsidR="000406CF" w:rsidRPr="00CD4735">
        <w:rPr>
          <w:bCs/>
        </w:rPr>
        <w:t>95,</w:t>
      </w:r>
      <w:r w:rsidR="00DC6AA1" w:rsidRPr="00CD4735">
        <w:rPr>
          <w:bCs/>
        </w:rPr>
        <w:t>9</w:t>
      </w:r>
      <w:r w:rsidRPr="00CD4735">
        <w:rPr>
          <w:bCs/>
        </w:rPr>
        <w:t>%) к</w:t>
      </w:r>
      <w:r w:rsidRPr="00CD4735">
        <w:rPr>
          <w:bCs/>
          <w:iCs/>
        </w:rPr>
        <w:t xml:space="preserve"> соответствующему периоду </w:t>
      </w:r>
      <w:r w:rsidR="0056011A" w:rsidRPr="00CD4735">
        <w:rPr>
          <w:bCs/>
        </w:rPr>
        <w:t>2019</w:t>
      </w:r>
      <w:r w:rsidR="00C2364B" w:rsidRPr="00CD4735">
        <w:rPr>
          <w:bCs/>
        </w:rPr>
        <w:t xml:space="preserve"> г</w:t>
      </w:r>
      <w:r w:rsidRPr="00CD4735">
        <w:rPr>
          <w:bCs/>
        </w:rPr>
        <w:t>. В</w:t>
      </w:r>
      <w:r w:rsidRPr="00CD4735">
        <w:rPr>
          <w:bCs/>
          <w:lang w:val="en-US"/>
        </w:rPr>
        <w:t> </w:t>
      </w:r>
      <w:r w:rsidRPr="00CD4735">
        <w:rPr>
          <w:bCs/>
        </w:rPr>
        <w:t xml:space="preserve">макроструктуре общего оборота розничной торговли на долю непродовольственных товаров в </w:t>
      </w:r>
      <w:r w:rsidR="009269A6" w:rsidRPr="00CD4735">
        <w:rPr>
          <w:bCs/>
          <w:iCs/>
        </w:rPr>
        <w:t>январе-</w:t>
      </w:r>
      <w:r w:rsidR="00DC6A75" w:rsidRPr="00CD4735">
        <w:rPr>
          <w:bCs/>
          <w:iCs/>
        </w:rPr>
        <w:t>но</w:t>
      </w:r>
      <w:r w:rsidR="004E2EDD" w:rsidRPr="00CD4735">
        <w:rPr>
          <w:bCs/>
          <w:iCs/>
        </w:rPr>
        <w:t>ябре</w:t>
      </w:r>
      <w:r w:rsidR="00431B37" w:rsidRPr="00CD4735">
        <w:rPr>
          <w:bCs/>
          <w:iCs/>
        </w:rPr>
        <w:t xml:space="preserve"> </w:t>
      </w:r>
      <w:r w:rsidR="00636EE4" w:rsidRPr="00CD4735">
        <w:rPr>
          <w:bCs/>
        </w:rPr>
        <w:t xml:space="preserve">2020 г. приходилось </w:t>
      </w:r>
      <w:r w:rsidR="00DC6A75" w:rsidRPr="00CD4735">
        <w:rPr>
          <w:bCs/>
        </w:rPr>
        <w:t>49,98</w:t>
      </w:r>
      <w:r w:rsidRPr="00CD4735">
        <w:rPr>
          <w:bCs/>
        </w:rPr>
        <w:t xml:space="preserve">% (в </w:t>
      </w:r>
      <w:r w:rsidR="009269A6" w:rsidRPr="00CD4735">
        <w:rPr>
          <w:bCs/>
          <w:iCs/>
        </w:rPr>
        <w:t>январе-</w:t>
      </w:r>
      <w:r w:rsidR="00DC6A75" w:rsidRPr="00CD4735">
        <w:rPr>
          <w:bCs/>
          <w:iCs/>
        </w:rPr>
        <w:t>но</w:t>
      </w:r>
      <w:r w:rsidR="004E2EDD" w:rsidRPr="00CD4735">
        <w:rPr>
          <w:bCs/>
          <w:iCs/>
        </w:rPr>
        <w:t>ябре</w:t>
      </w:r>
      <w:r w:rsidR="00431B37" w:rsidRPr="00CD4735">
        <w:rPr>
          <w:bCs/>
          <w:iCs/>
        </w:rPr>
        <w:t xml:space="preserve"> </w:t>
      </w:r>
      <w:r w:rsidRPr="00CD4735">
        <w:rPr>
          <w:bCs/>
        </w:rPr>
        <w:t xml:space="preserve">2019 г. – </w:t>
      </w:r>
      <w:r w:rsidR="004E2EDD" w:rsidRPr="00CD4735">
        <w:rPr>
          <w:bCs/>
        </w:rPr>
        <w:t>52,</w:t>
      </w:r>
      <w:r w:rsidR="00401AC5" w:rsidRPr="00CD4735">
        <w:rPr>
          <w:bCs/>
        </w:rPr>
        <w:t>5</w:t>
      </w:r>
      <w:r w:rsidRPr="00CD4735">
        <w:rPr>
          <w:bCs/>
        </w:rPr>
        <w:t xml:space="preserve">%), пищевых продуктов, включая напитки, и табачных изделий – </w:t>
      </w:r>
      <w:r w:rsidR="00E707D3" w:rsidRPr="00CD4735">
        <w:rPr>
          <w:bCs/>
        </w:rPr>
        <w:t>5</w:t>
      </w:r>
      <w:r w:rsidR="004E2EDD" w:rsidRPr="00CD4735">
        <w:rPr>
          <w:bCs/>
        </w:rPr>
        <w:t>0</w:t>
      </w:r>
      <w:r w:rsidR="00E707D3" w:rsidRPr="00CD4735">
        <w:rPr>
          <w:bCs/>
        </w:rPr>
        <w:t>,</w:t>
      </w:r>
      <w:r w:rsidR="00DC6A75" w:rsidRPr="00CD4735">
        <w:rPr>
          <w:bCs/>
        </w:rPr>
        <w:t>02</w:t>
      </w:r>
      <w:r w:rsidRPr="00CD4735">
        <w:rPr>
          <w:bCs/>
        </w:rPr>
        <w:t xml:space="preserve">% (соответственно </w:t>
      </w:r>
      <w:r w:rsidR="00401AC5" w:rsidRPr="00CD4735">
        <w:rPr>
          <w:bCs/>
        </w:rPr>
        <w:t>47,5</w:t>
      </w:r>
      <w:r w:rsidRPr="00CD4735">
        <w:rPr>
          <w:bCs/>
        </w:rPr>
        <w:t>%).</w:t>
      </w:r>
      <w:proofErr w:type="gramEnd"/>
      <w:r w:rsidRPr="00CD4735">
        <w:rPr>
          <w:bCs/>
        </w:rPr>
        <w:t xml:space="preserve"> Оборот </w:t>
      </w:r>
      <w:r w:rsidR="009269A6" w:rsidRPr="00CD4735">
        <w:rPr>
          <w:bCs/>
        </w:rPr>
        <w:t xml:space="preserve">розничной торговли на </w:t>
      </w:r>
      <w:r w:rsidR="00E707D3" w:rsidRPr="00CD4735">
        <w:rPr>
          <w:bCs/>
        </w:rPr>
        <w:t>9</w:t>
      </w:r>
      <w:r w:rsidR="00DC6A75" w:rsidRPr="00CD4735">
        <w:rPr>
          <w:bCs/>
        </w:rPr>
        <w:t>6,</w:t>
      </w:r>
      <w:r w:rsidR="00E707D3" w:rsidRPr="00CD4735">
        <w:rPr>
          <w:bCs/>
        </w:rPr>
        <w:t xml:space="preserve">7% </w:t>
      </w:r>
      <w:r w:rsidRPr="00CD4735">
        <w:rPr>
          <w:bCs/>
        </w:rPr>
        <w:t>формировался торгующими организациями и индивидуальными предпринимателями,</w:t>
      </w:r>
      <w:r w:rsidR="002154CB" w:rsidRPr="00CD4735">
        <w:rPr>
          <w:bCs/>
        </w:rPr>
        <w:t xml:space="preserve"> </w:t>
      </w:r>
      <w:r w:rsidRPr="00CD4735">
        <w:rPr>
          <w:bCs/>
        </w:rPr>
        <w:t xml:space="preserve">осуществляющими деятельность в стационарной торговой сети (вне рынка). Доля продажи товаров на рынках и ярмарках составила </w:t>
      </w:r>
      <w:r w:rsidR="004E2EDD" w:rsidRPr="00CD4735">
        <w:rPr>
          <w:bCs/>
        </w:rPr>
        <w:t>3</w:t>
      </w:r>
      <w:r w:rsidR="00DC6A75" w:rsidRPr="00CD4735">
        <w:rPr>
          <w:bCs/>
        </w:rPr>
        <w:t>,3</w:t>
      </w:r>
      <w:r w:rsidRPr="00CD4735">
        <w:rPr>
          <w:bCs/>
        </w:rPr>
        <w:t>%.</w:t>
      </w:r>
    </w:p>
    <w:p w:rsidR="00EA2567" w:rsidRPr="00CD4735" w:rsidRDefault="00EA2567" w:rsidP="00EA2567">
      <w:pPr>
        <w:ind w:firstLine="708"/>
        <w:jc w:val="both"/>
        <w:rPr>
          <w:bCs/>
        </w:rPr>
      </w:pPr>
      <w:proofErr w:type="gramStart"/>
      <w:r w:rsidRPr="00CD4735">
        <w:rPr>
          <w:bCs/>
        </w:rPr>
        <w:t>Объем платных услуг населению в январе-</w:t>
      </w:r>
      <w:r w:rsidR="00443561" w:rsidRPr="00CD4735">
        <w:rPr>
          <w:bCs/>
          <w:iCs/>
        </w:rPr>
        <w:t>но</w:t>
      </w:r>
      <w:r w:rsidR="006A00C3" w:rsidRPr="00CD4735">
        <w:rPr>
          <w:bCs/>
          <w:iCs/>
        </w:rPr>
        <w:t>ябре</w:t>
      </w:r>
      <w:r w:rsidRPr="00CD4735">
        <w:rPr>
          <w:bCs/>
        </w:rPr>
        <w:t xml:space="preserve"> 2020 г. составил </w:t>
      </w:r>
      <w:r w:rsidR="00443561" w:rsidRPr="00CD4735">
        <w:rPr>
          <w:bCs/>
        </w:rPr>
        <w:t>44,1</w:t>
      </w:r>
      <w:r w:rsidR="00674781" w:rsidRPr="00CD4735">
        <w:rPr>
          <w:bCs/>
        </w:rPr>
        <w:t xml:space="preserve"> млрд. рублей, или </w:t>
      </w:r>
      <w:r w:rsidR="00443561" w:rsidRPr="00CD4735">
        <w:rPr>
          <w:bCs/>
        </w:rPr>
        <w:t>88</w:t>
      </w:r>
      <w:r w:rsidR="006A00C3" w:rsidRPr="00CD4735">
        <w:rPr>
          <w:bCs/>
        </w:rPr>
        <w:t>,</w:t>
      </w:r>
      <w:r w:rsidR="00443561" w:rsidRPr="00CD4735">
        <w:rPr>
          <w:bCs/>
        </w:rPr>
        <w:t>5</w:t>
      </w:r>
      <w:r w:rsidRPr="00CD4735">
        <w:rPr>
          <w:bCs/>
        </w:rPr>
        <w:t xml:space="preserve">% (по России – </w:t>
      </w:r>
      <w:r w:rsidR="000570A5" w:rsidRPr="00CD4735">
        <w:rPr>
          <w:bCs/>
        </w:rPr>
        <w:t>82,3</w:t>
      </w:r>
      <w:r w:rsidRPr="00CD4735">
        <w:rPr>
          <w:bCs/>
        </w:rPr>
        <w:t xml:space="preserve">%) </w:t>
      </w:r>
      <w:r w:rsidR="00674781" w:rsidRPr="00CD4735">
        <w:rPr>
          <w:bCs/>
        </w:rPr>
        <w:t>к соответствующему периоду 2019</w:t>
      </w:r>
      <w:r w:rsidRPr="00CD4735">
        <w:rPr>
          <w:bCs/>
        </w:rPr>
        <w:t xml:space="preserve"> г. Снизи</w:t>
      </w:r>
      <w:r w:rsidR="00674781" w:rsidRPr="00CD4735">
        <w:rPr>
          <w:bCs/>
        </w:rPr>
        <w:t xml:space="preserve">лись объемы </w:t>
      </w:r>
      <w:r w:rsidR="00DC2BD6" w:rsidRPr="00CD4735">
        <w:rPr>
          <w:bCs/>
        </w:rPr>
        <w:t>юридических услуг (</w:t>
      </w:r>
      <w:r w:rsidR="002601E7" w:rsidRPr="00CD4735">
        <w:rPr>
          <w:bCs/>
        </w:rPr>
        <w:t>9</w:t>
      </w:r>
      <w:r w:rsidR="00540F4F" w:rsidRPr="00CD4735">
        <w:rPr>
          <w:bCs/>
        </w:rPr>
        <w:t>8</w:t>
      </w:r>
      <w:r w:rsidR="002601E7" w:rsidRPr="00CD4735">
        <w:rPr>
          <w:bCs/>
        </w:rPr>
        <w:t>,</w:t>
      </w:r>
      <w:r w:rsidR="005516EB" w:rsidRPr="00CD4735">
        <w:rPr>
          <w:bCs/>
        </w:rPr>
        <w:t>8</w:t>
      </w:r>
      <w:r w:rsidR="00DC2BD6" w:rsidRPr="00CD4735">
        <w:rPr>
          <w:bCs/>
        </w:rPr>
        <w:t>% к январю-</w:t>
      </w:r>
      <w:r w:rsidR="005516EB" w:rsidRPr="00CD4735">
        <w:rPr>
          <w:bCs/>
        </w:rPr>
        <w:t>но</w:t>
      </w:r>
      <w:r w:rsidR="00882269" w:rsidRPr="00CD4735">
        <w:rPr>
          <w:bCs/>
        </w:rPr>
        <w:t>ябрю</w:t>
      </w:r>
      <w:r w:rsidR="00DC2BD6" w:rsidRPr="00CD4735">
        <w:rPr>
          <w:bCs/>
        </w:rPr>
        <w:t xml:space="preserve"> 2019 г.), </w:t>
      </w:r>
      <w:r w:rsidR="000B30FF" w:rsidRPr="00CD4735">
        <w:rPr>
          <w:bCs/>
        </w:rPr>
        <w:t xml:space="preserve">телекоммуникационных </w:t>
      </w:r>
      <w:r w:rsidR="00DC2BD6" w:rsidRPr="00CD4735">
        <w:rPr>
          <w:bCs/>
        </w:rPr>
        <w:t>(9</w:t>
      </w:r>
      <w:r w:rsidR="000B30FF" w:rsidRPr="00CD4735">
        <w:rPr>
          <w:bCs/>
        </w:rPr>
        <w:t>8</w:t>
      </w:r>
      <w:r w:rsidR="00DC2BD6" w:rsidRPr="00CD4735">
        <w:rPr>
          <w:bCs/>
        </w:rPr>
        <w:t>,</w:t>
      </w:r>
      <w:r w:rsidR="005516EB" w:rsidRPr="00CD4735">
        <w:rPr>
          <w:bCs/>
        </w:rPr>
        <w:t>3</w:t>
      </w:r>
      <w:r w:rsidR="00DC2BD6" w:rsidRPr="00CD4735">
        <w:rPr>
          <w:bCs/>
        </w:rPr>
        <w:t xml:space="preserve">%), </w:t>
      </w:r>
      <w:r w:rsidR="00674781" w:rsidRPr="00CD4735">
        <w:rPr>
          <w:bCs/>
        </w:rPr>
        <w:t>жилищных (9</w:t>
      </w:r>
      <w:r w:rsidR="000B30FF" w:rsidRPr="00CD4735">
        <w:rPr>
          <w:bCs/>
        </w:rPr>
        <w:t>7</w:t>
      </w:r>
      <w:r w:rsidR="00674781" w:rsidRPr="00CD4735">
        <w:rPr>
          <w:bCs/>
        </w:rPr>
        <w:t>,</w:t>
      </w:r>
      <w:r w:rsidR="005516EB" w:rsidRPr="00CD4735">
        <w:rPr>
          <w:bCs/>
        </w:rPr>
        <w:t>8</w:t>
      </w:r>
      <w:r w:rsidRPr="00CD4735">
        <w:rPr>
          <w:bCs/>
        </w:rPr>
        <w:t xml:space="preserve">%), </w:t>
      </w:r>
      <w:r w:rsidR="000B30FF" w:rsidRPr="00CD4735">
        <w:rPr>
          <w:bCs/>
        </w:rPr>
        <w:t>бытовых (</w:t>
      </w:r>
      <w:r w:rsidR="005516EB" w:rsidRPr="00CD4735">
        <w:rPr>
          <w:bCs/>
        </w:rPr>
        <w:t>91,1</w:t>
      </w:r>
      <w:r w:rsidR="000B30FF" w:rsidRPr="00CD4735">
        <w:rPr>
          <w:bCs/>
        </w:rPr>
        <w:t xml:space="preserve">%), </w:t>
      </w:r>
      <w:r w:rsidR="00674781" w:rsidRPr="00CD4735">
        <w:rPr>
          <w:bCs/>
        </w:rPr>
        <w:t>почтовой связи</w:t>
      </w:r>
      <w:r w:rsidR="00882269" w:rsidRPr="00CD4735">
        <w:rPr>
          <w:bCs/>
        </w:rPr>
        <w:t>, курьерские</w:t>
      </w:r>
      <w:r w:rsidR="00674781" w:rsidRPr="00CD4735">
        <w:rPr>
          <w:bCs/>
        </w:rPr>
        <w:t xml:space="preserve"> (</w:t>
      </w:r>
      <w:r w:rsidR="005516EB" w:rsidRPr="00CD4735">
        <w:rPr>
          <w:bCs/>
        </w:rPr>
        <w:t>89,2</w:t>
      </w:r>
      <w:r w:rsidR="00674781" w:rsidRPr="00CD4735">
        <w:rPr>
          <w:bCs/>
        </w:rPr>
        <w:t xml:space="preserve">%), </w:t>
      </w:r>
      <w:r w:rsidR="003B1858" w:rsidRPr="00CD4735">
        <w:rPr>
          <w:bCs/>
        </w:rPr>
        <w:t>медицинских (</w:t>
      </w:r>
      <w:r w:rsidR="005516EB" w:rsidRPr="00CD4735">
        <w:rPr>
          <w:bCs/>
        </w:rPr>
        <w:t>82,5</w:t>
      </w:r>
      <w:r w:rsidR="003B1858" w:rsidRPr="00CD4735">
        <w:rPr>
          <w:bCs/>
        </w:rPr>
        <w:t xml:space="preserve">%), </w:t>
      </w:r>
      <w:r w:rsidR="00DC2BD6" w:rsidRPr="00CD4735">
        <w:rPr>
          <w:bCs/>
        </w:rPr>
        <w:t>системы образования (</w:t>
      </w:r>
      <w:r w:rsidR="005516EB" w:rsidRPr="00CD4735">
        <w:rPr>
          <w:bCs/>
        </w:rPr>
        <w:t>75,5</w:t>
      </w:r>
      <w:r w:rsidR="00DC2BD6" w:rsidRPr="00CD4735">
        <w:rPr>
          <w:bCs/>
        </w:rPr>
        <w:t>%), транспортных (</w:t>
      </w:r>
      <w:r w:rsidR="005516EB" w:rsidRPr="00CD4735">
        <w:rPr>
          <w:bCs/>
        </w:rPr>
        <w:t>74,6</w:t>
      </w:r>
      <w:r w:rsidR="00DC2BD6" w:rsidRPr="00CD4735">
        <w:rPr>
          <w:bCs/>
        </w:rPr>
        <w:t>%), услуги гостиниц и аналогичных средств размещения (</w:t>
      </w:r>
      <w:r w:rsidR="005516EB" w:rsidRPr="00CD4735">
        <w:rPr>
          <w:bCs/>
        </w:rPr>
        <w:t>61,7</w:t>
      </w:r>
      <w:r w:rsidR="00DC2BD6" w:rsidRPr="00CD4735">
        <w:rPr>
          <w:bCs/>
        </w:rPr>
        <w:t>%)</w:t>
      </w:r>
      <w:r w:rsidR="005516EB" w:rsidRPr="00CD4735">
        <w:rPr>
          <w:bCs/>
        </w:rPr>
        <w:t>, туристские (55,2%), физической культуры и</w:t>
      </w:r>
      <w:proofErr w:type="gramEnd"/>
      <w:r w:rsidR="005516EB" w:rsidRPr="00CD4735">
        <w:rPr>
          <w:bCs/>
        </w:rPr>
        <w:t xml:space="preserve"> спорта (54,9%), культуры (43,8%)</w:t>
      </w:r>
      <w:r w:rsidR="00DC2BD6" w:rsidRPr="00CD4735">
        <w:rPr>
          <w:bCs/>
        </w:rPr>
        <w:t xml:space="preserve"> и другие</w:t>
      </w:r>
      <w:r w:rsidR="00674781" w:rsidRPr="00CD4735">
        <w:rPr>
          <w:bCs/>
        </w:rPr>
        <w:t>.</w:t>
      </w:r>
      <w:r w:rsidR="001D49C4" w:rsidRPr="00CD4735">
        <w:rPr>
          <w:bCs/>
        </w:rPr>
        <w:t xml:space="preserve"> </w:t>
      </w:r>
      <w:r w:rsidRPr="00CD4735">
        <w:rPr>
          <w:bCs/>
        </w:rPr>
        <w:t>Увеличилис</w:t>
      </w:r>
      <w:r w:rsidR="00674781" w:rsidRPr="00CD4735">
        <w:rPr>
          <w:bCs/>
        </w:rPr>
        <w:t>ь объемы ветеринарных услуг (</w:t>
      </w:r>
      <w:r w:rsidR="002601E7" w:rsidRPr="00CD4735">
        <w:rPr>
          <w:bCs/>
        </w:rPr>
        <w:t>112,</w:t>
      </w:r>
      <w:r w:rsidR="00443561" w:rsidRPr="00CD4735">
        <w:rPr>
          <w:bCs/>
        </w:rPr>
        <w:t>7</w:t>
      </w:r>
      <w:r w:rsidRPr="00CD4735">
        <w:rPr>
          <w:bCs/>
        </w:rPr>
        <w:t>% к январю-</w:t>
      </w:r>
      <w:r w:rsidR="00443561" w:rsidRPr="00CD4735">
        <w:rPr>
          <w:bCs/>
        </w:rPr>
        <w:t>но</w:t>
      </w:r>
      <w:r w:rsidR="00EA1490" w:rsidRPr="00CD4735">
        <w:rPr>
          <w:bCs/>
        </w:rPr>
        <w:t>ябрю</w:t>
      </w:r>
      <w:r w:rsidRPr="00CD4735">
        <w:rPr>
          <w:bCs/>
        </w:rPr>
        <w:t xml:space="preserve"> 2019 г.), услуги, предоставляемые гражданам пожилого возраста и инвалидам (</w:t>
      </w:r>
      <w:r w:rsidR="002601E7" w:rsidRPr="00CD4735">
        <w:rPr>
          <w:bCs/>
        </w:rPr>
        <w:t>10</w:t>
      </w:r>
      <w:r w:rsidR="00EA1490" w:rsidRPr="00CD4735">
        <w:rPr>
          <w:bCs/>
        </w:rPr>
        <w:t>2</w:t>
      </w:r>
      <w:r w:rsidR="002601E7" w:rsidRPr="00CD4735">
        <w:rPr>
          <w:bCs/>
        </w:rPr>
        <w:t>,</w:t>
      </w:r>
      <w:r w:rsidR="00443561" w:rsidRPr="00CD4735">
        <w:rPr>
          <w:bCs/>
        </w:rPr>
        <w:t>3</w:t>
      </w:r>
      <w:r w:rsidRPr="00CD4735">
        <w:rPr>
          <w:bCs/>
        </w:rPr>
        <w:t xml:space="preserve">%), </w:t>
      </w:r>
      <w:r w:rsidR="000B30FF" w:rsidRPr="00CD4735">
        <w:rPr>
          <w:bCs/>
        </w:rPr>
        <w:t xml:space="preserve">коммунальных </w:t>
      </w:r>
      <w:r w:rsidR="00674781" w:rsidRPr="00CD4735">
        <w:rPr>
          <w:bCs/>
        </w:rPr>
        <w:t>(</w:t>
      </w:r>
      <w:r w:rsidR="00540F4F" w:rsidRPr="00CD4735">
        <w:rPr>
          <w:bCs/>
        </w:rPr>
        <w:t>100,</w:t>
      </w:r>
      <w:r w:rsidR="00443561" w:rsidRPr="00CD4735">
        <w:rPr>
          <w:bCs/>
        </w:rPr>
        <w:t>4</w:t>
      </w:r>
      <w:r w:rsidR="00DC2BD6" w:rsidRPr="00CD4735">
        <w:rPr>
          <w:bCs/>
        </w:rPr>
        <w:t>%)</w:t>
      </w:r>
      <w:r w:rsidR="001D49C4" w:rsidRPr="00CD4735">
        <w:rPr>
          <w:bCs/>
        </w:rPr>
        <w:t xml:space="preserve">. </w:t>
      </w:r>
    </w:p>
    <w:p w:rsidR="00A16607" w:rsidRPr="00CD4735" w:rsidRDefault="00A16607" w:rsidP="005334C8">
      <w:pPr>
        <w:ind w:firstLine="708"/>
        <w:jc w:val="both"/>
        <w:rPr>
          <w:bCs/>
        </w:rPr>
      </w:pPr>
    </w:p>
    <w:p w:rsidR="00626D43" w:rsidRPr="00CD4735" w:rsidRDefault="00626D43" w:rsidP="006065E1">
      <w:pPr>
        <w:ind w:firstLine="709"/>
        <w:jc w:val="both"/>
      </w:pPr>
      <w:r w:rsidRPr="00CD4735">
        <w:rPr>
          <w:b/>
        </w:rPr>
        <w:t>Индекс потребительских цен</w:t>
      </w:r>
      <w:r w:rsidRPr="00CD4735">
        <w:t xml:space="preserve"> на товары и услуги в </w:t>
      </w:r>
      <w:r w:rsidR="000D1116" w:rsidRPr="00CD4735">
        <w:t>но</w:t>
      </w:r>
      <w:r w:rsidR="00850D44" w:rsidRPr="00CD4735">
        <w:t>ябре</w:t>
      </w:r>
      <w:r w:rsidRPr="00CD4735">
        <w:t xml:space="preserve"> 2020 г</w:t>
      </w:r>
      <w:r w:rsidR="008313D9" w:rsidRPr="00CD4735">
        <w:t xml:space="preserve">. к декабрю 2019 г. составил </w:t>
      </w:r>
      <w:r w:rsidR="000D1116" w:rsidRPr="00CD4735">
        <w:t>104,5</w:t>
      </w:r>
      <w:r w:rsidRPr="00CD4735">
        <w:t>% (по России – 10</w:t>
      </w:r>
      <w:r w:rsidR="000D1116" w:rsidRPr="00CD4735">
        <w:t>4</w:t>
      </w:r>
      <w:r w:rsidRPr="00CD4735">
        <w:t>,</w:t>
      </w:r>
      <w:r w:rsidR="000D1116" w:rsidRPr="00CD4735">
        <w:t>1</w:t>
      </w:r>
      <w:r w:rsidRPr="00CD4735">
        <w:t>%, ПФО – 10</w:t>
      </w:r>
      <w:r w:rsidR="000D1116" w:rsidRPr="00CD4735">
        <w:t>4</w:t>
      </w:r>
      <w:r w:rsidRPr="00CD4735">
        <w:t>,</w:t>
      </w:r>
      <w:r w:rsidR="000D1116" w:rsidRPr="00CD4735">
        <w:t>4</w:t>
      </w:r>
      <w:r w:rsidRPr="00CD4735">
        <w:t xml:space="preserve">%). Цены на продовольственные товары увеличились на </w:t>
      </w:r>
      <w:r w:rsidR="000D1116" w:rsidRPr="00CD4735">
        <w:t>6,6</w:t>
      </w:r>
      <w:r w:rsidRPr="00CD4735">
        <w:t xml:space="preserve">% (по России – на </w:t>
      </w:r>
      <w:r w:rsidR="000D1116" w:rsidRPr="00CD4735">
        <w:t>5,1</w:t>
      </w:r>
      <w:r w:rsidRPr="00CD4735">
        <w:t xml:space="preserve">%, ПФО – на </w:t>
      </w:r>
      <w:r w:rsidR="000D1116" w:rsidRPr="00CD4735">
        <w:t>5,7</w:t>
      </w:r>
      <w:r w:rsidRPr="00CD4735">
        <w:t xml:space="preserve">%), на непродовольственные товары – на </w:t>
      </w:r>
      <w:r w:rsidR="002F53B0" w:rsidRPr="00CD4735">
        <w:t>4</w:t>
      </w:r>
      <w:r w:rsidR="000D1116" w:rsidRPr="00CD4735">
        <w:t>,8</w:t>
      </w:r>
      <w:r w:rsidRPr="00CD4735">
        <w:t xml:space="preserve">% (по России – на </w:t>
      </w:r>
      <w:r w:rsidR="000D1116" w:rsidRPr="00CD4735">
        <w:t>4,4</w:t>
      </w:r>
      <w:r w:rsidR="008313D9" w:rsidRPr="00CD4735">
        <w:t xml:space="preserve">%, ПФО – на </w:t>
      </w:r>
      <w:r w:rsidR="002F53B0" w:rsidRPr="00CD4735">
        <w:t>4</w:t>
      </w:r>
      <w:r w:rsidR="00850D44" w:rsidRPr="00CD4735">
        <w:t>,</w:t>
      </w:r>
      <w:r w:rsidR="000D1116" w:rsidRPr="00CD4735">
        <w:t>6</w:t>
      </w:r>
      <w:r w:rsidRPr="00CD4735">
        <w:t xml:space="preserve">%), на услуги – </w:t>
      </w:r>
      <w:proofErr w:type="gramStart"/>
      <w:r w:rsidRPr="00CD4735">
        <w:t>на</w:t>
      </w:r>
      <w:proofErr w:type="gramEnd"/>
      <w:r w:rsidRPr="00CD4735">
        <w:t xml:space="preserve"> 1,</w:t>
      </w:r>
      <w:r w:rsidR="005F1540" w:rsidRPr="00CD4735">
        <w:t>1</w:t>
      </w:r>
      <w:r w:rsidRPr="00CD4735">
        <w:t>% (по России – на 2,</w:t>
      </w:r>
      <w:r w:rsidR="005E65E9" w:rsidRPr="00CD4735">
        <w:t>3</w:t>
      </w:r>
      <w:r w:rsidRPr="00CD4735">
        <w:t>%, ПФО – на 2,</w:t>
      </w:r>
      <w:r w:rsidR="005E65E9" w:rsidRPr="00CD4735">
        <w:t>5</w:t>
      </w:r>
      <w:r w:rsidRPr="00CD4735">
        <w:t xml:space="preserve">%). </w:t>
      </w:r>
      <w:proofErr w:type="gramStart"/>
      <w:r w:rsidRPr="00CD4735">
        <w:t xml:space="preserve">Среди регионов ПФО Чувашская Республика по уровню инфляции в </w:t>
      </w:r>
      <w:r w:rsidR="005E65E9" w:rsidRPr="00CD4735">
        <w:t>но</w:t>
      </w:r>
      <w:r w:rsidR="005F1540" w:rsidRPr="00CD4735">
        <w:t>ябре</w:t>
      </w:r>
      <w:r w:rsidRPr="00CD4735">
        <w:t xml:space="preserve"> 2020 г. к декабрю предыдущего года заняла </w:t>
      </w:r>
      <w:r w:rsidR="009560BD" w:rsidRPr="00CD4735">
        <w:t>9</w:t>
      </w:r>
      <w:r w:rsidRPr="00CD4735">
        <w:t xml:space="preserve"> место </w:t>
      </w:r>
      <w:r w:rsidRPr="00CD4735">
        <w:rPr>
          <w:i/>
        </w:rPr>
        <w:t>(здесь и далее ранжирование показателя проведено по мере возрастания от меньшего к большему)</w:t>
      </w:r>
      <w:r w:rsidRPr="00CD4735">
        <w:t xml:space="preserve">, в том числе </w:t>
      </w:r>
      <w:r w:rsidR="008313D9" w:rsidRPr="00CD4735">
        <w:t xml:space="preserve">на продовольственные товары – </w:t>
      </w:r>
      <w:r w:rsidR="00293BCC" w:rsidRPr="00CD4735">
        <w:t>1</w:t>
      </w:r>
      <w:r w:rsidR="009560BD" w:rsidRPr="00CD4735">
        <w:t>3</w:t>
      </w:r>
      <w:r w:rsidRPr="00CD4735">
        <w:t xml:space="preserve"> место, непродовольственные товары – </w:t>
      </w:r>
      <w:r w:rsidR="00293BCC" w:rsidRPr="00CD4735">
        <w:t>10</w:t>
      </w:r>
      <w:r w:rsidRPr="00CD4735">
        <w:t xml:space="preserve"> место, услуги – </w:t>
      </w:r>
      <w:r w:rsidR="008313D9" w:rsidRPr="00CD4735">
        <w:t>1</w:t>
      </w:r>
      <w:r w:rsidRPr="00CD4735">
        <w:t xml:space="preserve"> место.</w:t>
      </w:r>
      <w:proofErr w:type="gramEnd"/>
      <w:r w:rsidRPr="00CD4735">
        <w:t xml:space="preserve"> Самый высокий уровень инфляции сложился в Сарат</w:t>
      </w:r>
      <w:r w:rsidR="00CB38FD" w:rsidRPr="00CD4735">
        <w:t>овской области (5</w:t>
      </w:r>
      <w:r w:rsidR="00290D74" w:rsidRPr="00CD4735">
        <w:t>,5</w:t>
      </w:r>
      <w:r w:rsidRPr="00CD4735">
        <w:t>%).</w:t>
      </w:r>
    </w:p>
    <w:p w:rsidR="00A16607" w:rsidRPr="00CD4735" w:rsidRDefault="00A16607" w:rsidP="006065E1">
      <w:pPr>
        <w:ind w:firstLine="709"/>
        <w:jc w:val="both"/>
      </w:pPr>
    </w:p>
    <w:p w:rsidR="00C6509B" w:rsidRPr="00CD4735" w:rsidRDefault="00C6509B" w:rsidP="00C6509B">
      <w:pPr>
        <w:ind w:firstLine="709"/>
        <w:jc w:val="both"/>
      </w:pPr>
      <w:r w:rsidRPr="00CD4735">
        <w:rPr>
          <w:b/>
          <w:bCs/>
        </w:rPr>
        <w:t xml:space="preserve">Среднедушевые денежные доходы населения </w:t>
      </w:r>
      <w:r w:rsidR="004E3CAC" w:rsidRPr="00CD4735">
        <w:rPr>
          <w:bCs/>
        </w:rPr>
        <w:t xml:space="preserve">в </w:t>
      </w:r>
      <w:r w:rsidR="007B3B78" w:rsidRPr="00CD4735">
        <w:rPr>
          <w:bCs/>
        </w:rPr>
        <w:t>январе-</w:t>
      </w:r>
      <w:r w:rsidR="001D50B4" w:rsidRPr="00CD4735">
        <w:rPr>
          <w:bCs/>
        </w:rPr>
        <w:t>сентябре</w:t>
      </w:r>
      <w:r w:rsidR="007B3B78" w:rsidRPr="00CD4735">
        <w:rPr>
          <w:bCs/>
        </w:rPr>
        <w:t xml:space="preserve"> 2020</w:t>
      </w:r>
      <w:r w:rsidRPr="00CD4735">
        <w:rPr>
          <w:bCs/>
        </w:rPr>
        <w:t xml:space="preserve"> г. составили </w:t>
      </w:r>
      <w:r w:rsidR="008B44D6" w:rsidRPr="00CD4735">
        <w:rPr>
          <w:bCs/>
        </w:rPr>
        <w:t>19</w:t>
      </w:r>
      <w:r w:rsidR="001D50B4" w:rsidRPr="00CD4735">
        <w:rPr>
          <w:bCs/>
        </w:rPr>
        <w:t>418</w:t>
      </w:r>
      <w:r w:rsidR="008B44D6" w:rsidRPr="00CD4735">
        <w:rPr>
          <w:bCs/>
        </w:rPr>
        <w:t>,</w:t>
      </w:r>
      <w:r w:rsidR="001D50B4" w:rsidRPr="00CD4735">
        <w:rPr>
          <w:bCs/>
        </w:rPr>
        <w:t>0</w:t>
      </w:r>
      <w:r w:rsidR="008B44D6" w:rsidRPr="00CD4735">
        <w:rPr>
          <w:bCs/>
        </w:rPr>
        <w:t xml:space="preserve"> </w:t>
      </w:r>
      <w:r w:rsidRPr="00CD4735">
        <w:rPr>
          <w:bCs/>
        </w:rPr>
        <w:t>рубл</w:t>
      </w:r>
      <w:r w:rsidR="001D50B4" w:rsidRPr="00CD4735">
        <w:rPr>
          <w:bCs/>
        </w:rPr>
        <w:t>ей</w:t>
      </w:r>
      <w:r w:rsidRPr="00CD4735">
        <w:rPr>
          <w:bCs/>
        </w:rPr>
        <w:t xml:space="preserve"> и по сравнению с </w:t>
      </w:r>
      <w:r w:rsidRPr="00CD4735">
        <w:t>соответствующим периодом предыдущего года</w:t>
      </w:r>
      <w:r w:rsidRPr="00CD4735">
        <w:rPr>
          <w:bCs/>
        </w:rPr>
        <w:t xml:space="preserve"> увеличились на </w:t>
      </w:r>
      <w:r w:rsidR="001D50B4" w:rsidRPr="00CD4735">
        <w:rPr>
          <w:bCs/>
        </w:rPr>
        <w:t>2,6</w:t>
      </w:r>
      <w:r w:rsidRPr="00CD4735">
        <w:rPr>
          <w:bCs/>
        </w:rPr>
        <w:t>%. При этом р</w:t>
      </w:r>
      <w:r w:rsidRPr="00CD4735">
        <w:t>еальные денежные</w:t>
      </w:r>
      <w:r w:rsidR="00734B6C" w:rsidRPr="00CD4735">
        <w:t xml:space="preserve"> доходы</w:t>
      </w:r>
      <w:r w:rsidRPr="00CD4735">
        <w:t xml:space="preserve"> </w:t>
      </w:r>
      <w:r w:rsidR="00BB1027" w:rsidRPr="00CD4735">
        <w:t xml:space="preserve">составили </w:t>
      </w:r>
      <w:r w:rsidR="001D50B4" w:rsidRPr="00CD4735">
        <w:t>99,8</w:t>
      </w:r>
      <w:r w:rsidR="00BB1027" w:rsidRPr="00CD4735">
        <w:t xml:space="preserve">% к </w:t>
      </w:r>
      <w:r w:rsidR="007B3B78" w:rsidRPr="00CD4735">
        <w:t>соответствующему периоду</w:t>
      </w:r>
      <w:r w:rsidR="00E9373A" w:rsidRPr="00CD4735">
        <w:t xml:space="preserve"> 20</w:t>
      </w:r>
      <w:r w:rsidR="007B3B78" w:rsidRPr="00CD4735">
        <w:t>19</w:t>
      </w:r>
      <w:r w:rsidR="00E9373A" w:rsidRPr="00CD4735">
        <w:t xml:space="preserve"> г</w:t>
      </w:r>
      <w:r w:rsidRPr="00CD4735">
        <w:t>.</w:t>
      </w:r>
    </w:p>
    <w:p w:rsidR="00A16607" w:rsidRPr="00CD4735" w:rsidRDefault="00A16607" w:rsidP="00C6509B">
      <w:pPr>
        <w:ind w:firstLine="709"/>
        <w:jc w:val="both"/>
        <w:rPr>
          <w:bCs/>
        </w:rPr>
      </w:pPr>
    </w:p>
    <w:p w:rsidR="00C6509B" w:rsidRPr="00CD4735" w:rsidRDefault="00C6509B" w:rsidP="00C6509B">
      <w:pPr>
        <w:ind w:firstLine="708"/>
        <w:jc w:val="both"/>
        <w:rPr>
          <w:bCs/>
          <w:iCs/>
        </w:rPr>
      </w:pPr>
      <w:r w:rsidRPr="00CD4735">
        <w:rPr>
          <w:b/>
        </w:rPr>
        <w:t>Среднемесячная номинальная начисленная заработная плата</w:t>
      </w:r>
      <w:r w:rsidRPr="00CD4735">
        <w:t xml:space="preserve"> в</w:t>
      </w:r>
      <w:r w:rsidR="00F25749" w:rsidRPr="00CD4735">
        <w:t xml:space="preserve"> январе</w:t>
      </w:r>
      <w:r w:rsidR="002306A9" w:rsidRPr="00CD4735">
        <w:t>-</w:t>
      </w:r>
      <w:r w:rsidR="00885C65" w:rsidRPr="00CD4735">
        <w:t>октябре</w:t>
      </w:r>
      <w:r w:rsidRPr="00CD4735">
        <w:t xml:space="preserve"> </w:t>
      </w:r>
      <w:r w:rsidR="00F25749" w:rsidRPr="00CD4735">
        <w:t>2020</w:t>
      </w:r>
      <w:r w:rsidR="00481BBA" w:rsidRPr="00CD4735">
        <w:t> </w:t>
      </w:r>
      <w:r w:rsidRPr="00CD4735">
        <w:t xml:space="preserve">г. </w:t>
      </w:r>
      <w:r w:rsidRPr="00CD4735">
        <w:rPr>
          <w:bCs/>
        </w:rPr>
        <w:t xml:space="preserve">составила </w:t>
      </w:r>
      <w:r w:rsidR="00885C65" w:rsidRPr="00CD4735">
        <w:t>31024,9</w:t>
      </w:r>
      <w:r w:rsidR="00481BBA" w:rsidRPr="00CD4735">
        <w:t xml:space="preserve"> </w:t>
      </w:r>
      <w:r w:rsidRPr="00CD4735">
        <w:rPr>
          <w:bCs/>
        </w:rPr>
        <w:t xml:space="preserve">рубля, или </w:t>
      </w:r>
      <w:r w:rsidR="00885C65" w:rsidRPr="00CD4735">
        <w:rPr>
          <w:bCs/>
        </w:rPr>
        <w:t>107,0</w:t>
      </w:r>
      <w:r w:rsidRPr="00CD4735">
        <w:rPr>
          <w:bCs/>
        </w:rPr>
        <w:t xml:space="preserve">% </w:t>
      </w:r>
      <w:r w:rsidRPr="00CD4735">
        <w:t>(по России – 10</w:t>
      </w:r>
      <w:r w:rsidR="00BD6869" w:rsidRPr="00CD4735">
        <w:t>5</w:t>
      </w:r>
      <w:r w:rsidRPr="00CD4735">
        <w:t>,</w:t>
      </w:r>
      <w:r w:rsidR="00D4339A" w:rsidRPr="00CD4735">
        <w:t>6</w:t>
      </w:r>
      <w:r w:rsidRPr="00CD4735">
        <w:t xml:space="preserve">%) </w:t>
      </w:r>
      <w:r w:rsidRPr="00CD4735">
        <w:rPr>
          <w:bCs/>
        </w:rPr>
        <w:t xml:space="preserve">к </w:t>
      </w:r>
      <w:r w:rsidR="000719A0" w:rsidRPr="00CD4735">
        <w:rPr>
          <w:bCs/>
        </w:rPr>
        <w:t xml:space="preserve">соответствующему периоду </w:t>
      </w:r>
      <w:r w:rsidR="0052700C" w:rsidRPr="00CD4735">
        <w:rPr>
          <w:bCs/>
        </w:rPr>
        <w:t>201</w:t>
      </w:r>
      <w:r w:rsidR="00F25749" w:rsidRPr="00CD4735">
        <w:rPr>
          <w:bCs/>
        </w:rPr>
        <w:t>9</w:t>
      </w:r>
      <w:r w:rsidRPr="00CD4735">
        <w:rPr>
          <w:bCs/>
        </w:rPr>
        <w:t xml:space="preserve"> г</w:t>
      </w:r>
      <w:r w:rsidR="0052700C" w:rsidRPr="00CD4735">
        <w:rPr>
          <w:bCs/>
        </w:rPr>
        <w:t>.</w:t>
      </w:r>
      <w:r w:rsidR="00481BBA" w:rsidRPr="00CD4735">
        <w:rPr>
          <w:bCs/>
        </w:rPr>
        <w:t xml:space="preserve"> </w:t>
      </w:r>
      <w:r w:rsidRPr="00CD4735">
        <w:rPr>
          <w:bCs/>
        </w:rPr>
        <w:t xml:space="preserve">При этом реальная заработная плата с учетом </w:t>
      </w:r>
      <w:r w:rsidRPr="00CD4735">
        <w:rPr>
          <w:bCs/>
        </w:rPr>
        <w:lastRenderedPageBreak/>
        <w:t xml:space="preserve">индекса потребительских цен составила </w:t>
      </w:r>
      <w:r w:rsidR="00987591" w:rsidRPr="00CD4735">
        <w:t>104,</w:t>
      </w:r>
      <w:r w:rsidR="00885C65" w:rsidRPr="00CD4735">
        <w:t>4</w:t>
      </w:r>
      <w:r w:rsidRPr="00CD4735">
        <w:rPr>
          <w:bCs/>
        </w:rPr>
        <w:t xml:space="preserve">% </w:t>
      </w:r>
      <w:r w:rsidRPr="00CD4735">
        <w:t>(</w:t>
      </w:r>
      <w:r w:rsidR="00C3217F" w:rsidRPr="00CD4735">
        <w:t>по России – 10</w:t>
      </w:r>
      <w:r w:rsidR="00BD6869" w:rsidRPr="00CD4735">
        <w:t>2</w:t>
      </w:r>
      <w:r w:rsidR="00B557EE" w:rsidRPr="00CD4735">
        <w:t>,</w:t>
      </w:r>
      <w:r w:rsidR="00D4339A" w:rsidRPr="00CD4735">
        <w:t>4</w:t>
      </w:r>
      <w:r w:rsidR="00481BBA" w:rsidRPr="00CD4735">
        <w:t xml:space="preserve">%). </w:t>
      </w:r>
      <w:r w:rsidRPr="00CD4735">
        <w:t>По основным видам экономической деятельности в</w:t>
      </w:r>
      <w:r w:rsidR="002306A9" w:rsidRPr="00CD4735">
        <w:t xml:space="preserve"> январе-</w:t>
      </w:r>
      <w:r w:rsidR="00481393" w:rsidRPr="00CD4735">
        <w:t>ок</w:t>
      </w:r>
      <w:r w:rsidR="00EE7287" w:rsidRPr="00CD4735">
        <w:t>тябре</w:t>
      </w:r>
      <w:r w:rsidRPr="00CD4735">
        <w:t xml:space="preserve"> </w:t>
      </w:r>
      <w:r w:rsidR="002306A9" w:rsidRPr="00CD4735">
        <w:t>2020</w:t>
      </w:r>
      <w:r w:rsidR="008F3F21" w:rsidRPr="00CD4735">
        <w:t> </w:t>
      </w:r>
      <w:r w:rsidRPr="00CD4735">
        <w:t xml:space="preserve">г. по сравнению с </w:t>
      </w:r>
      <w:r w:rsidR="002306A9" w:rsidRPr="00CD4735">
        <w:t>соответствующим периодом 2019 </w:t>
      </w:r>
      <w:r w:rsidRPr="00CD4735">
        <w:t>г</w:t>
      </w:r>
      <w:r w:rsidR="0052700C" w:rsidRPr="00CD4735">
        <w:t>.</w:t>
      </w:r>
      <w:r w:rsidRPr="00CD4735">
        <w:t xml:space="preserve"> наблюдался рост заработной платы.</w:t>
      </w:r>
      <w:r w:rsidRPr="00CD4735">
        <w:rPr>
          <w:lang w:eastAsia="x-none"/>
        </w:rPr>
        <w:t xml:space="preserve"> </w:t>
      </w:r>
      <w:proofErr w:type="gramStart"/>
      <w:r w:rsidRPr="00CD4735">
        <w:t xml:space="preserve">Наиболее высокая заработная плата относительно среднереспубликанского уровня сохраняется </w:t>
      </w:r>
      <w:r w:rsidR="00EE7287" w:rsidRPr="00CD4735">
        <w:rPr>
          <w:bCs/>
          <w:iCs/>
        </w:rPr>
        <w:t xml:space="preserve">в организациях </w:t>
      </w:r>
      <w:r w:rsidR="00EE7287" w:rsidRPr="00CD4735">
        <w:t>по производству электро</w:t>
      </w:r>
      <w:r w:rsidR="00481393" w:rsidRPr="00CD4735">
        <w:t>нных и оптических изделий (в 1,7</w:t>
      </w:r>
      <w:r w:rsidR="00EE7287" w:rsidRPr="00CD4735">
        <w:t xml:space="preserve"> раза выше среднереспубликанского уровня), </w:t>
      </w:r>
      <w:r w:rsidRPr="00CD4735">
        <w:t xml:space="preserve">в </w:t>
      </w:r>
      <w:r w:rsidR="00083BFE" w:rsidRPr="00CD4735">
        <w:t>компаниях, занимающихся научными исследованиями и разработками</w:t>
      </w:r>
      <w:r w:rsidR="00083BFE" w:rsidRPr="00CD4735">
        <w:rPr>
          <w:bCs/>
          <w:iCs/>
        </w:rPr>
        <w:t xml:space="preserve"> </w:t>
      </w:r>
      <w:r w:rsidR="00A17380" w:rsidRPr="00CD4735">
        <w:t>(в 1,</w:t>
      </w:r>
      <w:r w:rsidR="00EE7287" w:rsidRPr="00CD4735">
        <w:t xml:space="preserve">6 </w:t>
      </w:r>
      <w:r w:rsidR="00A17380" w:rsidRPr="00CD4735">
        <w:t>раза),</w:t>
      </w:r>
      <w:r w:rsidR="00A17380" w:rsidRPr="00CD4735">
        <w:rPr>
          <w:bCs/>
          <w:iCs/>
        </w:rPr>
        <w:t xml:space="preserve"> </w:t>
      </w:r>
      <w:r w:rsidR="0074572D" w:rsidRPr="00CD4735">
        <w:rPr>
          <w:bCs/>
          <w:iCs/>
        </w:rPr>
        <w:t>в финансовой и страховой деятельностью (в</w:t>
      </w:r>
      <w:r w:rsidR="00EE7287" w:rsidRPr="00CD4735">
        <w:rPr>
          <w:bCs/>
          <w:iCs/>
        </w:rPr>
        <w:t> </w:t>
      </w:r>
      <w:r w:rsidR="00481393" w:rsidRPr="00CD4735">
        <w:rPr>
          <w:bCs/>
          <w:iCs/>
        </w:rPr>
        <w:t>1,5</w:t>
      </w:r>
      <w:r w:rsidR="0074572D" w:rsidRPr="00CD4735">
        <w:rPr>
          <w:bCs/>
          <w:iCs/>
        </w:rPr>
        <w:t xml:space="preserve"> раза), </w:t>
      </w:r>
      <w:r w:rsidR="00050C92" w:rsidRPr="00CD4735">
        <w:rPr>
          <w:bCs/>
          <w:iCs/>
        </w:rPr>
        <w:t>в области информации и связи</w:t>
      </w:r>
      <w:r w:rsidR="00CC6A0C" w:rsidRPr="00CD4735">
        <w:rPr>
          <w:bCs/>
          <w:iCs/>
        </w:rPr>
        <w:t xml:space="preserve"> </w:t>
      </w:r>
      <w:r w:rsidR="00050C92" w:rsidRPr="00CD4735">
        <w:rPr>
          <w:bCs/>
          <w:iCs/>
        </w:rPr>
        <w:t>(</w:t>
      </w:r>
      <w:r w:rsidR="00CC6A0C" w:rsidRPr="00CD4735">
        <w:rPr>
          <w:bCs/>
          <w:iCs/>
        </w:rPr>
        <w:t xml:space="preserve">в </w:t>
      </w:r>
      <w:r w:rsidR="00050C92" w:rsidRPr="00CD4735">
        <w:rPr>
          <w:bCs/>
          <w:iCs/>
        </w:rPr>
        <w:t>1</w:t>
      </w:r>
      <w:r w:rsidR="007519C1" w:rsidRPr="00CD4735">
        <w:rPr>
          <w:bCs/>
          <w:iCs/>
        </w:rPr>
        <w:t>,</w:t>
      </w:r>
      <w:r w:rsidR="0074572D" w:rsidRPr="00CD4735">
        <w:rPr>
          <w:bCs/>
          <w:iCs/>
        </w:rPr>
        <w:t>3</w:t>
      </w:r>
      <w:r w:rsidR="00CC6A0C" w:rsidRPr="00CD4735">
        <w:rPr>
          <w:bCs/>
          <w:iCs/>
        </w:rPr>
        <w:t xml:space="preserve"> </w:t>
      </w:r>
      <w:r w:rsidR="007519C1" w:rsidRPr="00CD4735">
        <w:rPr>
          <w:bCs/>
          <w:iCs/>
        </w:rPr>
        <w:t>раза</w:t>
      </w:r>
      <w:r w:rsidR="00050C92" w:rsidRPr="00CD4735">
        <w:rPr>
          <w:bCs/>
          <w:iCs/>
        </w:rPr>
        <w:t>),</w:t>
      </w:r>
      <w:r w:rsidRPr="00CD4735">
        <w:t xml:space="preserve"> </w:t>
      </w:r>
      <w:r w:rsidR="0074572D" w:rsidRPr="00CD4735">
        <w:t>в государственном управлении и обеспечении военной безопасности;</w:t>
      </w:r>
      <w:proofErr w:type="gramEnd"/>
      <w:r w:rsidR="0074572D" w:rsidRPr="00CD4735">
        <w:t xml:space="preserve"> социальном </w:t>
      </w:r>
      <w:proofErr w:type="gramStart"/>
      <w:r w:rsidR="0074572D" w:rsidRPr="00CD4735">
        <w:t>обеспечении</w:t>
      </w:r>
      <w:proofErr w:type="gramEnd"/>
      <w:r w:rsidR="0074572D" w:rsidRPr="00CD4735">
        <w:t xml:space="preserve"> (в 1,3 раза), </w:t>
      </w:r>
      <w:r w:rsidRPr="00CD4735">
        <w:t>электрического оборудования (</w:t>
      </w:r>
      <w:r w:rsidR="0074572D" w:rsidRPr="00CD4735">
        <w:t>на</w:t>
      </w:r>
      <w:r w:rsidR="007519C1" w:rsidRPr="00CD4735">
        <w:t xml:space="preserve"> </w:t>
      </w:r>
      <w:r w:rsidR="00987591" w:rsidRPr="00CD4735">
        <w:t>23,</w:t>
      </w:r>
      <w:r w:rsidR="00481393" w:rsidRPr="00CD4735">
        <w:t>2</w:t>
      </w:r>
      <w:r w:rsidR="00EE7287" w:rsidRPr="00CD4735">
        <w:t>% выше</w:t>
      </w:r>
      <w:r w:rsidRPr="00CD4735">
        <w:t>),</w:t>
      </w:r>
      <w:r w:rsidR="0074572D" w:rsidRPr="00CD4735">
        <w:t xml:space="preserve"> </w:t>
      </w:r>
      <w:r w:rsidR="00EE7287" w:rsidRPr="00CD4735">
        <w:t xml:space="preserve">химических веществ и химических продуктов (на </w:t>
      </w:r>
      <w:r w:rsidR="00481393" w:rsidRPr="00CD4735">
        <w:t>21,5</w:t>
      </w:r>
      <w:r w:rsidR="00EE7287" w:rsidRPr="00CD4735">
        <w:t xml:space="preserve">%), </w:t>
      </w:r>
      <w:r w:rsidR="00987591" w:rsidRPr="00CD4735">
        <w:t>автотранспортных средств, прицепов и полуприцепов (</w:t>
      </w:r>
      <w:r w:rsidR="00EE7287" w:rsidRPr="00CD4735">
        <w:t xml:space="preserve">на </w:t>
      </w:r>
      <w:r w:rsidR="00481393" w:rsidRPr="00CD4735">
        <w:t>19,0</w:t>
      </w:r>
      <w:r w:rsidR="00987591" w:rsidRPr="00CD4735">
        <w:t xml:space="preserve">%), </w:t>
      </w:r>
      <w:r w:rsidR="002B28A1" w:rsidRPr="00CD4735">
        <w:t>обеспечение электрической энергией, газом и паром</w:t>
      </w:r>
      <w:r w:rsidR="00987591" w:rsidRPr="00CD4735">
        <w:t>; кондиционирование воздуха</w:t>
      </w:r>
      <w:r w:rsidR="002B28A1" w:rsidRPr="00CD4735">
        <w:t xml:space="preserve"> (на </w:t>
      </w:r>
      <w:r w:rsidR="00481393" w:rsidRPr="00CD4735">
        <w:t>12,7</w:t>
      </w:r>
      <w:r w:rsidR="002B28A1" w:rsidRPr="00CD4735">
        <w:t>%),</w:t>
      </w:r>
      <w:r w:rsidR="00CC6A0C" w:rsidRPr="00CD4735">
        <w:t xml:space="preserve"> </w:t>
      </w:r>
      <w:r w:rsidRPr="00CD4735">
        <w:rPr>
          <w:bCs/>
          <w:iCs/>
        </w:rPr>
        <w:t>и др.</w:t>
      </w:r>
      <w:r w:rsidR="002009A7" w:rsidRPr="00CD4735">
        <w:rPr>
          <w:bCs/>
          <w:iCs/>
        </w:rPr>
        <w:t xml:space="preserve"> </w:t>
      </w:r>
    </w:p>
    <w:p w:rsidR="00A16607" w:rsidRPr="00CD4735" w:rsidRDefault="00A16607" w:rsidP="005334C8">
      <w:pPr>
        <w:ind w:firstLine="708"/>
        <w:jc w:val="both"/>
        <w:rPr>
          <w:bCs/>
          <w:iCs/>
        </w:rPr>
      </w:pPr>
    </w:p>
    <w:p w:rsidR="0080596F" w:rsidRPr="00CD4735" w:rsidRDefault="005334C8" w:rsidP="0080596F">
      <w:pPr>
        <w:pStyle w:val="a5"/>
        <w:ind w:firstLine="709"/>
        <w:jc w:val="both"/>
      </w:pPr>
      <w:r w:rsidRPr="00CD4735">
        <w:rPr>
          <w:b/>
          <w:bCs/>
          <w:iCs/>
        </w:rPr>
        <w:t>Просроченная задолженность по заработной плате</w:t>
      </w:r>
      <w:r w:rsidRPr="00CD4735">
        <w:rPr>
          <w:bCs/>
          <w:iCs/>
        </w:rPr>
        <w:t xml:space="preserve"> по состоянию на 1 </w:t>
      </w:r>
      <w:r w:rsidR="00625A11" w:rsidRPr="00CD4735">
        <w:rPr>
          <w:bCs/>
          <w:iCs/>
        </w:rPr>
        <w:t>дека</w:t>
      </w:r>
      <w:r w:rsidR="00671AD5" w:rsidRPr="00CD4735">
        <w:rPr>
          <w:bCs/>
          <w:iCs/>
        </w:rPr>
        <w:t>бря</w:t>
      </w:r>
      <w:r w:rsidRPr="00CD4735">
        <w:rPr>
          <w:bCs/>
          <w:iCs/>
        </w:rPr>
        <w:t xml:space="preserve"> 2020 г. по данным </w:t>
      </w:r>
      <w:proofErr w:type="spellStart"/>
      <w:r w:rsidRPr="00CD4735">
        <w:rPr>
          <w:bCs/>
          <w:iCs/>
        </w:rPr>
        <w:t>Чувашстата</w:t>
      </w:r>
      <w:proofErr w:type="spellEnd"/>
      <w:r w:rsidRPr="00CD4735">
        <w:rPr>
          <w:bCs/>
          <w:iCs/>
        </w:rPr>
        <w:t xml:space="preserve"> составила </w:t>
      </w:r>
      <w:r w:rsidR="00625A11" w:rsidRPr="00CD4735">
        <w:t>20,3</w:t>
      </w:r>
      <w:r w:rsidR="007D205B" w:rsidRPr="00CD4735">
        <w:t xml:space="preserve"> млн. рублей и по сравнению с</w:t>
      </w:r>
      <w:r w:rsidR="00941BF3" w:rsidRPr="00CD4735">
        <w:t xml:space="preserve"> данными на</w:t>
      </w:r>
      <w:r w:rsidR="007D205B" w:rsidRPr="00CD4735">
        <w:t xml:space="preserve"> 1 </w:t>
      </w:r>
      <w:r w:rsidR="00625A11" w:rsidRPr="00CD4735">
        <w:t>но</w:t>
      </w:r>
      <w:r w:rsidR="00671AD5" w:rsidRPr="00CD4735">
        <w:t>ября</w:t>
      </w:r>
      <w:r w:rsidR="0080596F" w:rsidRPr="00CD4735">
        <w:t xml:space="preserve"> 2020 г</w:t>
      </w:r>
      <w:r w:rsidR="00941BF3" w:rsidRPr="00CD4735">
        <w:t>.</w:t>
      </w:r>
      <w:r w:rsidR="0080596F" w:rsidRPr="00CD4735">
        <w:t xml:space="preserve"> у</w:t>
      </w:r>
      <w:r w:rsidR="00671AD5" w:rsidRPr="00CD4735">
        <w:t>величилас</w:t>
      </w:r>
      <w:r w:rsidR="0080596F" w:rsidRPr="00CD4735">
        <w:t xml:space="preserve">ь на </w:t>
      </w:r>
      <w:r w:rsidR="00625A11" w:rsidRPr="00CD4735">
        <w:t>356</w:t>
      </w:r>
      <w:r w:rsidR="0080596F" w:rsidRPr="00CD4735">
        <w:t xml:space="preserve"> </w:t>
      </w:r>
      <w:r w:rsidR="00941BF3" w:rsidRPr="00CD4735">
        <w:t>тыс</w:t>
      </w:r>
      <w:r w:rsidR="0080596F" w:rsidRPr="00CD4735">
        <w:t xml:space="preserve">. рублей (на </w:t>
      </w:r>
      <w:r w:rsidR="00625A11" w:rsidRPr="00CD4735">
        <w:t>1,8</w:t>
      </w:r>
      <w:r w:rsidR="0080596F" w:rsidRPr="00CD4735">
        <w:t>%).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r w:rsidRPr="00CD4735">
        <w:rPr>
          <w:bCs/>
          <w:iCs/>
        </w:rPr>
        <w:t>Вся сумма задолженности по заработной плате сложилась из-за отсутствия у организаций собственных средств. Среди субъектов ПФО на 1 </w:t>
      </w:r>
      <w:r w:rsidR="00625A11" w:rsidRPr="00CD4735">
        <w:rPr>
          <w:bCs/>
          <w:iCs/>
        </w:rPr>
        <w:t>но</w:t>
      </w:r>
      <w:r w:rsidR="0076146F" w:rsidRPr="00CD4735">
        <w:rPr>
          <w:bCs/>
          <w:iCs/>
        </w:rPr>
        <w:t>ября</w:t>
      </w:r>
      <w:r w:rsidRPr="00CD4735">
        <w:rPr>
          <w:bCs/>
          <w:iCs/>
        </w:rPr>
        <w:t xml:space="preserve"> 2020 г. просроченная задолженность по заработной плате сложилась выше, </w:t>
      </w:r>
      <w:r w:rsidR="00FE6476" w:rsidRPr="00CD4735">
        <w:rPr>
          <w:bCs/>
          <w:iCs/>
        </w:rPr>
        <w:t>чем в Чувашии, в Кировской области и республиках Татарстан и Башкортостан.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r w:rsidRPr="00CD4735">
        <w:rPr>
          <w:bCs/>
          <w:iCs/>
        </w:rPr>
        <w:t xml:space="preserve">В общем объеме задолженности по заработной плате на 1 </w:t>
      </w:r>
      <w:r w:rsidR="005A1A71" w:rsidRPr="00CD4735">
        <w:rPr>
          <w:bCs/>
          <w:iCs/>
        </w:rPr>
        <w:t>дека</w:t>
      </w:r>
      <w:r w:rsidR="00671AD5" w:rsidRPr="00CD4735">
        <w:rPr>
          <w:bCs/>
          <w:iCs/>
        </w:rPr>
        <w:t>бря</w:t>
      </w:r>
      <w:r w:rsidRPr="00CD4735">
        <w:rPr>
          <w:bCs/>
          <w:iCs/>
        </w:rPr>
        <w:t xml:space="preserve"> 2020 г</w:t>
      </w:r>
      <w:r w:rsidR="0000738D" w:rsidRPr="00CD4735">
        <w:rPr>
          <w:bCs/>
          <w:iCs/>
        </w:rPr>
        <w:t>.</w:t>
      </w:r>
      <w:r w:rsidRPr="00CD4735">
        <w:rPr>
          <w:bCs/>
          <w:iCs/>
        </w:rPr>
        <w:t xml:space="preserve"> задолженность по организациям, находящимся в процессе конкурсного производства, составила </w:t>
      </w:r>
      <w:r w:rsidR="001A7EE2" w:rsidRPr="00CD4735">
        <w:rPr>
          <w:bCs/>
          <w:iCs/>
        </w:rPr>
        <w:t>19,</w:t>
      </w:r>
      <w:r w:rsidR="00DC3378" w:rsidRPr="00CD4735">
        <w:rPr>
          <w:bCs/>
          <w:iCs/>
        </w:rPr>
        <w:t>9</w:t>
      </w:r>
      <w:r w:rsidRPr="00CD4735">
        <w:rPr>
          <w:bCs/>
          <w:iCs/>
        </w:rPr>
        <w:t xml:space="preserve"> млн. рублей, </w:t>
      </w:r>
      <w:r w:rsidR="00F94CC2" w:rsidRPr="00CD4735">
        <w:rPr>
          <w:bCs/>
          <w:iCs/>
        </w:rPr>
        <w:t xml:space="preserve">или </w:t>
      </w:r>
      <w:r w:rsidR="00DC3378" w:rsidRPr="00CD4735">
        <w:rPr>
          <w:bCs/>
          <w:iCs/>
        </w:rPr>
        <w:t>98,2</w:t>
      </w:r>
      <w:r w:rsidRPr="00CD4735">
        <w:rPr>
          <w:bCs/>
          <w:iCs/>
        </w:rPr>
        <w:t>%.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r w:rsidRPr="00CD4735">
        <w:rPr>
          <w:bCs/>
          <w:iCs/>
        </w:rPr>
        <w:t xml:space="preserve">Задолженность по заработной плате на 1 </w:t>
      </w:r>
      <w:r w:rsidR="00DC3378" w:rsidRPr="00CD4735">
        <w:rPr>
          <w:bCs/>
          <w:iCs/>
        </w:rPr>
        <w:t>дека</w:t>
      </w:r>
      <w:r w:rsidR="00671AD5" w:rsidRPr="00CD4735">
        <w:rPr>
          <w:bCs/>
          <w:iCs/>
        </w:rPr>
        <w:t>бря</w:t>
      </w:r>
      <w:r w:rsidRPr="00CD4735">
        <w:rPr>
          <w:bCs/>
          <w:iCs/>
        </w:rPr>
        <w:t xml:space="preserve"> 2020 г</w:t>
      </w:r>
      <w:r w:rsidR="0000738D" w:rsidRPr="00CD4735">
        <w:rPr>
          <w:bCs/>
          <w:iCs/>
        </w:rPr>
        <w:t>.</w:t>
      </w:r>
      <w:r w:rsidRPr="00CD4735">
        <w:rPr>
          <w:bCs/>
          <w:iCs/>
        </w:rPr>
        <w:t xml:space="preserve"> отсутствовала в 1</w:t>
      </w:r>
      <w:r w:rsidR="001849B5" w:rsidRPr="00CD4735">
        <w:rPr>
          <w:bCs/>
          <w:iCs/>
        </w:rPr>
        <w:t>9</w:t>
      </w:r>
      <w:r w:rsidRPr="00CD4735">
        <w:rPr>
          <w:bCs/>
          <w:iCs/>
        </w:rPr>
        <w:t xml:space="preserve"> районах и </w:t>
      </w:r>
      <w:r w:rsidR="001A7EE2" w:rsidRPr="00CD4735">
        <w:rPr>
          <w:bCs/>
          <w:iCs/>
        </w:rPr>
        <w:t>3</w:t>
      </w:r>
      <w:r w:rsidRPr="00CD4735">
        <w:rPr>
          <w:bCs/>
          <w:iCs/>
        </w:rPr>
        <w:t xml:space="preserve"> городах. Наибольший размер из общей суммы просроченной задолженност</w:t>
      </w:r>
      <w:r w:rsidR="00505477" w:rsidRPr="00CD4735">
        <w:rPr>
          <w:bCs/>
          <w:iCs/>
        </w:rPr>
        <w:t>и приходится на г. Алатырь (</w:t>
      </w:r>
      <w:r w:rsidR="005249DD" w:rsidRPr="00CD4735">
        <w:rPr>
          <w:bCs/>
          <w:iCs/>
        </w:rPr>
        <w:t>17,</w:t>
      </w:r>
      <w:r w:rsidR="00DC3378" w:rsidRPr="00CD4735">
        <w:rPr>
          <w:bCs/>
          <w:iCs/>
        </w:rPr>
        <w:t>3</w:t>
      </w:r>
      <w:r w:rsidR="006B6CF4" w:rsidRPr="00CD4735">
        <w:rPr>
          <w:bCs/>
          <w:iCs/>
        </w:rPr>
        <w:t xml:space="preserve"> млн. рублей, или </w:t>
      </w:r>
      <w:r w:rsidR="00DC3378" w:rsidRPr="00CD4735">
        <w:rPr>
          <w:bCs/>
          <w:iCs/>
        </w:rPr>
        <w:t>85,1</w:t>
      </w:r>
      <w:r w:rsidRPr="00CD4735">
        <w:rPr>
          <w:bCs/>
          <w:iCs/>
        </w:rPr>
        <w:t>%).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proofErr w:type="gramStart"/>
      <w:r w:rsidRPr="00CD4735">
        <w:rPr>
          <w:bCs/>
          <w:iCs/>
        </w:rPr>
        <w:t>По данным реестра Государственной инспекции труда</w:t>
      </w:r>
      <w:r w:rsidR="009E7F3D" w:rsidRPr="00CD4735">
        <w:rPr>
          <w:bCs/>
          <w:iCs/>
        </w:rPr>
        <w:t xml:space="preserve"> по состоянию на </w:t>
      </w:r>
      <w:r w:rsidR="00F90B75" w:rsidRPr="00CD4735">
        <w:rPr>
          <w:bCs/>
          <w:iCs/>
        </w:rPr>
        <w:t>1</w:t>
      </w:r>
      <w:r w:rsidR="00DC05EA" w:rsidRPr="00CD4735">
        <w:rPr>
          <w:bCs/>
          <w:iCs/>
        </w:rPr>
        <w:t xml:space="preserve"> </w:t>
      </w:r>
      <w:r w:rsidR="00F90B75" w:rsidRPr="00CD4735">
        <w:rPr>
          <w:bCs/>
          <w:iCs/>
        </w:rPr>
        <w:t>дека</w:t>
      </w:r>
      <w:r w:rsidR="00DC05EA" w:rsidRPr="00CD4735">
        <w:rPr>
          <w:bCs/>
          <w:iCs/>
        </w:rPr>
        <w:t>бря</w:t>
      </w:r>
      <w:r w:rsidRPr="00CD4735">
        <w:rPr>
          <w:bCs/>
          <w:iCs/>
        </w:rPr>
        <w:t xml:space="preserve"> 2020 г. в Чувашской Республике </w:t>
      </w:r>
      <w:r w:rsidRPr="00CD4735">
        <w:rPr>
          <w:bCs/>
          <w:i/>
          <w:iCs/>
        </w:rPr>
        <w:t xml:space="preserve">(формируется как по данным Чувашстата, так и по результатам надзора и контроля за деятельностью работодателей по соблюдению трудового законодательства) </w:t>
      </w:r>
      <w:r w:rsidRPr="00CD4735">
        <w:rPr>
          <w:bCs/>
          <w:iCs/>
        </w:rPr>
        <w:t xml:space="preserve">наибольшая доля задолженности приходится на крупные предприятия-банкроты (ООО «Чебоксарская типография №1», ПАО «АЗНХ», ООО «ЖБК №2» г. Новочебоксарск, ООО «Завод автокомпонентов «Элма» г. Новочебоксарск) – </w:t>
      </w:r>
      <w:r w:rsidR="00422542" w:rsidRPr="00CD4735">
        <w:rPr>
          <w:bCs/>
          <w:iCs/>
        </w:rPr>
        <w:t>6</w:t>
      </w:r>
      <w:r w:rsidR="00DC05EA" w:rsidRPr="00CD4735">
        <w:rPr>
          <w:bCs/>
          <w:iCs/>
        </w:rPr>
        <w:t>9</w:t>
      </w:r>
      <w:r w:rsidR="00A237EB" w:rsidRPr="00CD4735">
        <w:rPr>
          <w:bCs/>
          <w:iCs/>
        </w:rPr>
        <w:t>,</w:t>
      </w:r>
      <w:r w:rsidR="00F90B75" w:rsidRPr="00CD4735">
        <w:rPr>
          <w:bCs/>
          <w:iCs/>
        </w:rPr>
        <w:t>3</w:t>
      </w:r>
      <w:proofErr w:type="gramEnd"/>
      <w:r w:rsidRPr="00CD4735">
        <w:rPr>
          <w:bCs/>
          <w:iCs/>
        </w:rPr>
        <w:t>% от общей суммы задолженности по заработной плате в организациях всех форм собственности.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r w:rsidRPr="00CD4735">
        <w:rPr>
          <w:bCs/>
          <w:iCs/>
        </w:rPr>
        <w:t xml:space="preserve">Вопросы просроченной задолженности по заработной плате находятся на особом контроле у Правительства Чувашской Республики и рассматриваются на заседаниях Межведомственной комиссии по вопросам своевременности и полноты выплаты заработной платы, снижения неформальной занятости при Главе Чувашской Республики, Республиканской трехсторонней комиссии по регулированию социально-трудовых отношений, в муниципальных образованиях </w:t>
      </w:r>
      <w:r w:rsidR="0000738D" w:rsidRPr="00CD4735">
        <w:rPr>
          <w:bCs/>
          <w:iCs/>
        </w:rPr>
        <w:t xml:space="preserve">– </w:t>
      </w:r>
      <w:r w:rsidRPr="00CD4735">
        <w:rPr>
          <w:bCs/>
          <w:iCs/>
        </w:rPr>
        <w:t>на соответствующих муниципальных комиссиях.</w:t>
      </w:r>
    </w:p>
    <w:p w:rsidR="005334C8" w:rsidRPr="00CD4735" w:rsidRDefault="005334C8" w:rsidP="005334C8">
      <w:pPr>
        <w:ind w:firstLine="708"/>
        <w:jc w:val="both"/>
        <w:rPr>
          <w:bCs/>
          <w:iCs/>
        </w:rPr>
      </w:pPr>
      <w:r w:rsidRPr="00CD4735">
        <w:rPr>
          <w:bCs/>
          <w:iCs/>
        </w:rPr>
        <w:t xml:space="preserve">По решению проблем с образованием задолженности по заработной плате осуществляется взаимодействие с отраслевыми министерствами, органами местного самоуправления, органами прокуратуры, налоговыми органами, а также с Государственной инспекцией труда в Чувашской Республике. </w:t>
      </w:r>
    </w:p>
    <w:p w:rsidR="00A16607" w:rsidRPr="00CD4735" w:rsidRDefault="00A16607" w:rsidP="005334C8">
      <w:pPr>
        <w:ind w:firstLine="708"/>
        <w:jc w:val="both"/>
        <w:rPr>
          <w:bCs/>
          <w:iCs/>
        </w:rPr>
      </w:pPr>
    </w:p>
    <w:p w:rsidR="000A4DE5" w:rsidRPr="00CD4735" w:rsidRDefault="00C6509B" w:rsidP="00C6509B">
      <w:pPr>
        <w:tabs>
          <w:tab w:val="left" w:pos="3969"/>
        </w:tabs>
        <w:ind w:firstLine="708"/>
        <w:jc w:val="both"/>
      </w:pPr>
      <w:r w:rsidRPr="00CD4735">
        <w:rPr>
          <w:b/>
        </w:rPr>
        <w:t>Уровень зарегистрированной безработицы</w:t>
      </w:r>
      <w:r w:rsidRPr="00CD4735">
        <w:t xml:space="preserve"> по отношению к численности рабочей силы (экономически активному населению) на </w:t>
      </w:r>
      <w:r w:rsidR="00283F14" w:rsidRPr="00CD4735">
        <w:rPr>
          <w:bCs/>
        </w:rPr>
        <w:t>1</w:t>
      </w:r>
      <w:r w:rsidRPr="00CD4735">
        <w:rPr>
          <w:bCs/>
        </w:rPr>
        <w:t> </w:t>
      </w:r>
      <w:r w:rsidR="002210B0" w:rsidRPr="00CD4735">
        <w:rPr>
          <w:bCs/>
        </w:rPr>
        <w:t>декаб</w:t>
      </w:r>
      <w:r w:rsidR="00B6181E" w:rsidRPr="00CD4735">
        <w:rPr>
          <w:bCs/>
        </w:rPr>
        <w:t>ря</w:t>
      </w:r>
      <w:r w:rsidR="008F1D37" w:rsidRPr="00CD4735">
        <w:rPr>
          <w:bCs/>
        </w:rPr>
        <w:t xml:space="preserve"> 2020</w:t>
      </w:r>
      <w:r w:rsidRPr="00CD4735">
        <w:rPr>
          <w:bCs/>
        </w:rPr>
        <w:t xml:space="preserve"> г. </w:t>
      </w:r>
      <w:r w:rsidR="00655A5D" w:rsidRPr="00CD4735">
        <w:t xml:space="preserve">составил </w:t>
      </w:r>
      <w:r w:rsidR="00B6181E" w:rsidRPr="00CD4735">
        <w:t>3,</w:t>
      </w:r>
      <w:r w:rsidR="002210B0" w:rsidRPr="00CD4735">
        <w:t>1</w:t>
      </w:r>
      <w:r w:rsidR="00D31E68" w:rsidRPr="00CD4735">
        <w:t xml:space="preserve">% (на </w:t>
      </w:r>
      <w:r w:rsidR="00283F14" w:rsidRPr="00CD4735">
        <w:t>1</w:t>
      </w:r>
      <w:r w:rsidRPr="00CD4735">
        <w:t> </w:t>
      </w:r>
      <w:r w:rsidR="002210B0" w:rsidRPr="00CD4735">
        <w:t>но</w:t>
      </w:r>
      <w:r w:rsidR="00B6181E" w:rsidRPr="00CD4735">
        <w:t>ября</w:t>
      </w:r>
      <w:r w:rsidR="002411BF" w:rsidRPr="00CD4735">
        <w:t xml:space="preserve"> </w:t>
      </w:r>
      <w:r w:rsidR="00EA3D7E" w:rsidRPr="00CD4735">
        <w:t>20</w:t>
      </w:r>
      <w:r w:rsidR="00B6181E" w:rsidRPr="00CD4735">
        <w:t>20</w:t>
      </w:r>
      <w:r w:rsidR="00EA3D7E" w:rsidRPr="00CD4735">
        <w:t xml:space="preserve"> г. – </w:t>
      </w:r>
      <w:r w:rsidR="002210B0" w:rsidRPr="00CD4735">
        <w:t>3,8</w:t>
      </w:r>
      <w:r w:rsidRPr="00CD4735">
        <w:t>%)</w:t>
      </w:r>
      <w:r w:rsidR="009279F3" w:rsidRPr="00CD4735">
        <w:t xml:space="preserve">. </w:t>
      </w:r>
      <w:r w:rsidR="00704DCE" w:rsidRPr="00CD4735">
        <w:t>Стоит отметить, что уровень регистрируемой безработицы неуклонно снижается после достижения пикового значения: по состоянию на 26 августа 2020 г. количество безработных граждан составляло 29,6 тыс. человек, уровень безработицы составлял 4,89%.</w:t>
      </w:r>
    </w:p>
    <w:p w:rsidR="00C6509B" w:rsidRPr="00CD4735" w:rsidRDefault="00C6509B" w:rsidP="00C6509B">
      <w:pPr>
        <w:tabs>
          <w:tab w:val="left" w:pos="3969"/>
        </w:tabs>
        <w:ind w:firstLine="708"/>
        <w:jc w:val="both"/>
      </w:pPr>
      <w:r w:rsidRPr="00CD4735">
        <w:rPr>
          <w:bCs/>
        </w:rPr>
        <w:lastRenderedPageBreak/>
        <w:t xml:space="preserve">Численность безработных граждан, зарегистрированных в центрах занятости населения, </w:t>
      </w:r>
      <w:r w:rsidRPr="00CD4735">
        <w:t xml:space="preserve">на </w:t>
      </w:r>
      <w:r w:rsidRPr="00CD4735">
        <w:rPr>
          <w:bCs/>
        </w:rPr>
        <w:t xml:space="preserve">1 </w:t>
      </w:r>
      <w:r w:rsidR="002210B0" w:rsidRPr="00CD4735">
        <w:rPr>
          <w:bCs/>
        </w:rPr>
        <w:t>дека</w:t>
      </w:r>
      <w:r w:rsidR="00B6181E" w:rsidRPr="00CD4735">
        <w:rPr>
          <w:bCs/>
        </w:rPr>
        <w:t>бря</w:t>
      </w:r>
      <w:r w:rsidR="00EA3D7E" w:rsidRPr="00CD4735">
        <w:rPr>
          <w:bCs/>
        </w:rPr>
        <w:t xml:space="preserve"> </w:t>
      </w:r>
      <w:r w:rsidR="00CD3DE9" w:rsidRPr="00CD4735">
        <w:rPr>
          <w:bCs/>
        </w:rPr>
        <w:t>2020</w:t>
      </w:r>
      <w:r w:rsidRPr="00CD4735">
        <w:rPr>
          <w:bCs/>
        </w:rPr>
        <w:t xml:space="preserve"> г. </w:t>
      </w:r>
      <w:r w:rsidRPr="00CD4735">
        <w:t xml:space="preserve">составила </w:t>
      </w:r>
      <w:r w:rsidR="002210B0" w:rsidRPr="00CD4735">
        <w:t>18,8</w:t>
      </w:r>
      <w:r w:rsidR="00655A5D" w:rsidRPr="00CD4735">
        <w:t> </w:t>
      </w:r>
      <w:r w:rsidRPr="00CD4735">
        <w:t xml:space="preserve">тыс. человек </w:t>
      </w:r>
      <w:r w:rsidRPr="00CD4735">
        <w:rPr>
          <w:bCs/>
        </w:rPr>
        <w:t>(на 1</w:t>
      </w:r>
      <w:r w:rsidR="00FF6E5C" w:rsidRPr="00CD4735">
        <w:rPr>
          <w:bCs/>
        </w:rPr>
        <w:t xml:space="preserve"> </w:t>
      </w:r>
      <w:r w:rsidR="002210B0" w:rsidRPr="00CD4735">
        <w:rPr>
          <w:bCs/>
        </w:rPr>
        <w:t>дека</w:t>
      </w:r>
      <w:r w:rsidR="00B6181E" w:rsidRPr="00CD4735">
        <w:rPr>
          <w:bCs/>
        </w:rPr>
        <w:t>бря</w:t>
      </w:r>
      <w:r w:rsidR="00FF6E5C" w:rsidRPr="00CD4735">
        <w:rPr>
          <w:bCs/>
        </w:rPr>
        <w:t xml:space="preserve"> 2019</w:t>
      </w:r>
      <w:r w:rsidR="000F412D" w:rsidRPr="00CD4735">
        <w:rPr>
          <w:bCs/>
        </w:rPr>
        <w:t xml:space="preserve"> г. – </w:t>
      </w:r>
      <w:r w:rsidR="00FF6E5C" w:rsidRPr="00CD4735">
        <w:rPr>
          <w:bCs/>
        </w:rPr>
        <w:t>4,</w:t>
      </w:r>
      <w:r w:rsidR="0052259A" w:rsidRPr="00CD4735">
        <w:rPr>
          <w:bCs/>
        </w:rPr>
        <w:t>3</w:t>
      </w:r>
      <w:r w:rsidR="004B0196" w:rsidRPr="00CD4735">
        <w:rPr>
          <w:bCs/>
        </w:rPr>
        <w:t> </w:t>
      </w:r>
      <w:r w:rsidRPr="00CD4735">
        <w:rPr>
          <w:bCs/>
        </w:rPr>
        <w:t>тыс. человек).</w:t>
      </w:r>
      <w:r w:rsidRPr="00CD4735">
        <w:t xml:space="preserve"> Заявленная работодателями потребность в работниках на </w:t>
      </w:r>
      <w:r w:rsidRPr="00CD4735">
        <w:rPr>
          <w:bCs/>
        </w:rPr>
        <w:t>1</w:t>
      </w:r>
      <w:r w:rsidR="00852EE5" w:rsidRPr="00CD4735">
        <w:rPr>
          <w:bCs/>
        </w:rPr>
        <w:t> </w:t>
      </w:r>
      <w:r w:rsidR="002210B0" w:rsidRPr="00CD4735">
        <w:rPr>
          <w:bCs/>
        </w:rPr>
        <w:t>дека</w:t>
      </w:r>
      <w:r w:rsidR="00B6181E" w:rsidRPr="00CD4735">
        <w:rPr>
          <w:bCs/>
        </w:rPr>
        <w:t>бря</w:t>
      </w:r>
      <w:r w:rsidR="00313CDD" w:rsidRPr="00CD4735">
        <w:rPr>
          <w:bCs/>
        </w:rPr>
        <w:t xml:space="preserve"> </w:t>
      </w:r>
      <w:r w:rsidR="00643B63" w:rsidRPr="00CD4735">
        <w:rPr>
          <w:bCs/>
        </w:rPr>
        <w:t>2020</w:t>
      </w:r>
      <w:r w:rsidRPr="00CD4735">
        <w:rPr>
          <w:bCs/>
        </w:rPr>
        <w:t xml:space="preserve"> г. </w:t>
      </w:r>
      <w:r w:rsidR="000538A1" w:rsidRPr="00CD4735">
        <w:t xml:space="preserve">составила </w:t>
      </w:r>
      <w:r w:rsidR="007D45DB" w:rsidRPr="00CD4735">
        <w:t>1</w:t>
      </w:r>
      <w:r w:rsidR="002D643E" w:rsidRPr="00CD4735">
        <w:t>6</w:t>
      </w:r>
      <w:r w:rsidR="007D45DB" w:rsidRPr="00CD4735">
        <w:t>,</w:t>
      </w:r>
      <w:r w:rsidR="002210B0" w:rsidRPr="00CD4735">
        <w:t>1</w:t>
      </w:r>
      <w:r w:rsidRPr="00CD4735">
        <w:t> тыс. человек (на 1</w:t>
      </w:r>
      <w:r w:rsidR="00C772A7" w:rsidRPr="00CD4735">
        <w:t> </w:t>
      </w:r>
      <w:r w:rsidR="0052259A" w:rsidRPr="00CD4735">
        <w:rPr>
          <w:bCs/>
        </w:rPr>
        <w:t>дека</w:t>
      </w:r>
      <w:r w:rsidR="00B6181E" w:rsidRPr="00CD4735">
        <w:rPr>
          <w:bCs/>
        </w:rPr>
        <w:t>бря</w:t>
      </w:r>
      <w:r w:rsidR="00655A5D" w:rsidRPr="00CD4735">
        <w:t xml:space="preserve"> 20</w:t>
      </w:r>
      <w:r w:rsidR="00FF6E5C" w:rsidRPr="00CD4735">
        <w:t>19</w:t>
      </w:r>
      <w:r w:rsidR="00C772A7" w:rsidRPr="00CD4735">
        <w:t> </w:t>
      </w:r>
      <w:r w:rsidR="00313CDD" w:rsidRPr="00CD4735">
        <w:t xml:space="preserve">г. – </w:t>
      </w:r>
      <w:r w:rsidR="0052259A" w:rsidRPr="00CD4735">
        <w:t>17,8</w:t>
      </w:r>
      <w:r w:rsidRPr="00CD4735">
        <w:t xml:space="preserve"> тыс. человек).</w:t>
      </w:r>
    </w:p>
    <w:p w:rsidR="00A16607" w:rsidRPr="00CD4735" w:rsidRDefault="00A16607" w:rsidP="00C6509B">
      <w:pPr>
        <w:tabs>
          <w:tab w:val="left" w:pos="3969"/>
        </w:tabs>
        <w:ind w:firstLine="708"/>
        <w:jc w:val="both"/>
      </w:pPr>
    </w:p>
    <w:p w:rsidR="00142467" w:rsidRPr="00CD4735" w:rsidRDefault="00C6509B" w:rsidP="00C6509B">
      <w:pPr>
        <w:ind w:firstLine="709"/>
        <w:jc w:val="both"/>
      </w:pPr>
      <w:r w:rsidRPr="00CD4735">
        <w:rPr>
          <w:b/>
        </w:rPr>
        <w:t>Демографическая ситуация.</w:t>
      </w:r>
      <w:r w:rsidRPr="00CD4735">
        <w:t xml:space="preserve"> </w:t>
      </w:r>
      <w:proofErr w:type="gramStart"/>
      <w:r w:rsidRPr="00CD4735">
        <w:t>По предварительным данным Чувашстата общая численность населения Чувашской Республик</w:t>
      </w:r>
      <w:r w:rsidR="00817179" w:rsidRPr="00CD4735">
        <w:t>и по состоянию на 1 января 2020</w:t>
      </w:r>
      <w:r w:rsidR="00F76416" w:rsidRPr="00CD4735">
        <w:t> </w:t>
      </w:r>
      <w:r w:rsidRPr="00CD4735">
        <w:t>г. составила 12</w:t>
      </w:r>
      <w:r w:rsidR="00817179" w:rsidRPr="00CD4735">
        <w:t>17</w:t>
      </w:r>
      <w:r w:rsidRPr="00CD4735">
        <w:t>,</w:t>
      </w:r>
      <w:r w:rsidR="00817179" w:rsidRPr="00CD4735">
        <w:t>8</w:t>
      </w:r>
      <w:r w:rsidRPr="00CD4735">
        <w:t xml:space="preserve"> тыс. человек, в том числе городского населения – 77</w:t>
      </w:r>
      <w:r w:rsidR="00817179" w:rsidRPr="00CD4735">
        <w:t>2</w:t>
      </w:r>
      <w:r w:rsidRPr="00CD4735">
        <w:t>,</w:t>
      </w:r>
      <w:r w:rsidR="00817179" w:rsidRPr="00CD4735">
        <w:t>1</w:t>
      </w:r>
      <w:r w:rsidRPr="00CD4735">
        <w:t xml:space="preserve"> тыс. чел</w:t>
      </w:r>
      <w:r w:rsidR="00376BBA" w:rsidRPr="00CD4735">
        <w:t>овек</w:t>
      </w:r>
      <w:r w:rsidRPr="00CD4735">
        <w:t>, или 63,</w:t>
      </w:r>
      <w:r w:rsidR="00817179" w:rsidRPr="00CD4735">
        <w:t>4</w:t>
      </w:r>
      <w:r w:rsidRPr="00CD4735">
        <w:t xml:space="preserve">%. В </w:t>
      </w:r>
      <w:r w:rsidR="00693A27" w:rsidRPr="00CD4735">
        <w:t>январе</w:t>
      </w:r>
      <w:r w:rsidR="00143081" w:rsidRPr="00CD4735">
        <w:t>-</w:t>
      </w:r>
      <w:r w:rsidR="00FD55BE" w:rsidRPr="00CD4735">
        <w:t>ок</w:t>
      </w:r>
      <w:r w:rsidR="009250FB" w:rsidRPr="00CD4735">
        <w:t>тябре</w:t>
      </w:r>
      <w:r w:rsidR="00693A27" w:rsidRPr="00CD4735">
        <w:t xml:space="preserve"> </w:t>
      </w:r>
      <w:r w:rsidRPr="00CD4735">
        <w:t>20</w:t>
      </w:r>
      <w:r w:rsidR="00693A27" w:rsidRPr="00CD4735">
        <w:t>20</w:t>
      </w:r>
      <w:r w:rsidRPr="00CD4735">
        <w:t> г. общий коэффициент рождаемости в расчете на 1</w:t>
      </w:r>
      <w:r w:rsidR="00693A27" w:rsidRPr="00CD4735">
        <w:t xml:space="preserve">000 человек населения составил </w:t>
      </w:r>
      <w:r w:rsidR="001E4213" w:rsidRPr="00CD4735">
        <w:t>9,</w:t>
      </w:r>
      <w:r w:rsidR="009250FB" w:rsidRPr="00CD4735">
        <w:t>3 </w:t>
      </w:r>
      <w:r w:rsidRPr="00CD4735">
        <w:t>промилле (в</w:t>
      </w:r>
      <w:r w:rsidR="007104F2" w:rsidRPr="00CD4735">
        <w:t xml:space="preserve"> январе-</w:t>
      </w:r>
      <w:r w:rsidR="00FD55BE" w:rsidRPr="00CD4735">
        <w:t>ок</w:t>
      </w:r>
      <w:r w:rsidR="009250FB" w:rsidRPr="00CD4735">
        <w:t>тябре</w:t>
      </w:r>
      <w:r w:rsidRPr="00CD4735">
        <w:t xml:space="preserve"> </w:t>
      </w:r>
      <w:r w:rsidR="00AE46F2" w:rsidRPr="00CD4735">
        <w:t>201</w:t>
      </w:r>
      <w:r w:rsidR="00693A27" w:rsidRPr="00CD4735">
        <w:t>9</w:t>
      </w:r>
      <w:r w:rsidR="009250FB" w:rsidRPr="00CD4735">
        <w:t> </w:t>
      </w:r>
      <w:r w:rsidR="00AE46F2" w:rsidRPr="00CD4735">
        <w:t xml:space="preserve">г. – </w:t>
      </w:r>
      <w:r w:rsidR="00693A27" w:rsidRPr="00CD4735">
        <w:t>9</w:t>
      </w:r>
      <w:r w:rsidR="00AE46F2" w:rsidRPr="00CD4735">
        <w:t>,</w:t>
      </w:r>
      <w:r w:rsidR="004D7119" w:rsidRPr="00CD4735">
        <w:t>6</w:t>
      </w:r>
      <w:r w:rsidR="009250FB" w:rsidRPr="00CD4735">
        <w:t xml:space="preserve"> п</w:t>
      </w:r>
      <w:r w:rsidRPr="00CD4735">
        <w:t>ромилле).</w:t>
      </w:r>
      <w:proofErr w:type="gramEnd"/>
      <w:r w:rsidRPr="00CD4735">
        <w:t xml:space="preserve"> Смертность населения республики по сравнению с</w:t>
      </w:r>
      <w:r w:rsidR="007104F2" w:rsidRPr="00CD4735">
        <w:t xml:space="preserve"> январем-</w:t>
      </w:r>
      <w:r w:rsidR="00FD55BE" w:rsidRPr="00CD4735">
        <w:t>ок</w:t>
      </w:r>
      <w:r w:rsidR="009250FB" w:rsidRPr="00CD4735">
        <w:t>тябрем</w:t>
      </w:r>
      <w:r w:rsidRPr="00CD4735">
        <w:t xml:space="preserve"> </w:t>
      </w:r>
      <w:r w:rsidR="00C35882" w:rsidRPr="00CD4735">
        <w:t>201</w:t>
      </w:r>
      <w:r w:rsidR="00693A27" w:rsidRPr="00CD4735">
        <w:t>9</w:t>
      </w:r>
      <w:r w:rsidR="00C35882" w:rsidRPr="00CD4735">
        <w:t xml:space="preserve"> г. </w:t>
      </w:r>
      <w:r w:rsidR="008C7C59" w:rsidRPr="00CD4735">
        <w:t>увеличилась</w:t>
      </w:r>
      <w:r w:rsidR="00C35882" w:rsidRPr="00CD4735">
        <w:t xml:space="preserve"> на </w:t>
      </w:r>
      <w:r w:rsidR="001E4213" w:rsidRPr="00CD4735">
        <w:t>1</w:t>
      </w:r>
      <w:r w:rsidR="009250FB" w:rsidRPr="00CD4735">
        <w:t>6</w:t>
      </w:r>
      <w:r w:rsidR="00D81854" w:rsidRPr="00CD4735">
        <w:t>,</w:t>
      </w:r>
      <w:r w:rsidR="00FD55BE" w:rsidRPr="00CD4735">
        <w:t>4</w:t>
      </w:r>
      <w:r w:rsidR="00D81854" w:rsidRPr="00CD4735">
        <w:t>%</w:t>
      </w:r>
      <w:r w:rsidRPr="00CD4735">
        <w:t xml:space="preserve"> и составила 1</w:t>
      </w:r>
      <w:r w:rsidR="00D81854" w:rsidRPr="00CD4735">
        <w:t>4</w:t>
      </w:r>
      <w:r w:rsidRPr="00CD4735">
        <w:t>,</w:t>
      </w:r>
      <w:r w:rsidR="00FD55BE" w:rsidRPr="00CD4735">
        <w:t>7</w:t>
      </w:r>
      <w:r w:rsidR="00143081" w:rsidRPr="00CD4735">
        <w:t> промилле</w:t>
      </w:r>
      <w:r w:rsidRPr="00CD4735">
        <w:t xml:space="preserve"> на 1000</w:t>
      </w:r>
      <w:r w:rsidR="00143081" w:rsidRPr="00CD4735">
        <w:t> </w:t>
      </w:r>
      <w:r w:rsidRPr="00CD4735">
        <w:t>человек населения (в</w:t>
      </w:r>
      <w:r w:rsidR="007104F2" w:rsidRPr="00CD4735">
        <w:t xml:space="preserve"> январ</w:t>
      </w:r>
      <w:proofErr w:type="gramStart"/>
      <w:r w:rsidR="007104F2" w:rsidRPr="00CD4735">
        <w:t>е-</w:t>
      </w:r>
      <w:proofErr w:type="gramEnd"/>
      <w:r w:rsidR="009250FB" w:rsidRPr="00CD4735">
        <w:t xml:space="preserve"> </w:t>
      </w:r>
      <w:r w:rsidR="00FD55BE" w:rsidRPr="00CD4735">
        <w:t>ок</w:t>
      </w:r>
      <w:r w:rsidR="009250FB" w:rsidRPr="00CD4735">
        <w:t>тябре</w:t>
      </w:r>
      <w:r w:rsidRPr="00CD4735">
        <w:t xml:space="preserve"> 201</w:t>
      </w:r>
      <w:r w:rsidR="00693A27" w:rsidRPr="00CD4735">
        <w:t>9</w:t>
      </w:r>
      <w:r w:rsidRPr="00CD4735">
        <w:t xml:space="preserve"> г. – 1</w:t>
      </w:r>
      <w:r w:rsidR="007104F2" w:rsidRPr="00CD4735">
        <w:t>2</w:t>
      </w:r>
      <w:r w:rsidRPr="00CD4735">
        <w:t>,</w:t>
      </w:r>
      <w:r w:rsidR="00FD55BE" w:rsidRPr="00CD4735">
        <w:t>6</w:t>
      </w:r>
      <w:r w:rsidRPr="00CD4735">
        <w:t> промилле</w:t>
      </w:r>
      <w:r w:rsidR="00817179" w:rsidRPr="00CD4735">
        <w:t>)</w:t>
      </w:r>
      <w:r w:rsidRPr="00CD4735">
        <w:t xml:space="preserve">. </w:t>
      </w:r>
    </w:p>
    <w:p w:rsidR="00C6509B" w:rsidRPr="00CD4735" w:rsidRDefault="00C6509B" w:rsidP="00C6509B">
      <w:pPr>
        <w:ind w:firstLine="709"/>
        <w:jc w:val="both"/>
      </w:pPr>
      <w:r w:rsidRPr="00CD4735">
        <w:t>В Чувашской Республике самая высокая плотность населения на 1 кв. км сре</w:t>
      </w:r>
      <w:r w:rsidR="00584161" w:rsidRPr="00CD4735">
        <w:t>ди регионов ПФО (на 1 января 2020 г. – 66,</w:t>
      </w:r>
      <w:r w:rsidR="00640906" w:rsidRPr="00CD4735">
        <w:t>4</w:t>
      </w:r>
      <w:r w:rsidRPr="00CD4735">
        <w:t xml:space="preserve"> </w:t>
      </w:r>
      <w:r w:rsidR="00C948C2" w:rsidRPr="00CD4735">
        <w:t>человек на</w:t>
      </w:r>
      <w:r w:rsidR="006770E2" w:rsidRPr="00CD4735">
        <w:t xml:space="preserve"> 1</w:t>
      </w:r>
      <w:r w:rsidR="00C948C2" w:rsidRPr="00CD4735">
        <w:t xml:space="preserve"> </w:t>
      </w:r>
      <w:r w:rsidRPr="00CD4735">
        <w:t>км</w:t>
      </w:r>
      <w:r w:rsidRPr="00CD4735">
        <w:rPr>
          <w:vertAlign w:val="superscript"/>
        </w:rPr>
        <w:t>2</w:t>
      </w:r>
      <w:r w:rsidRPr="00CD4735">
        <w:t>). Для республики всегда была характерна трудовая миграция, как в соседние, так и в столичные регионы. В</w:t>
      </w:r>
      <w:r w:rsidR="001C0047" w:rsidRPr="00CD4735">
        <w:t xml:space="preserve"> январе</w:t>
      </w:r>
      <w:r w:rsidR="007104F2" w:rsidRPr="00CD4735">
        <w:t>-</w:t>
      </w:r>
      <w:r w:rsidR="00FD55BE" w:rsidRPr="00CD4735">
        <w:t>ок</w:t>
      </w:r>
      <w:r w:rsidR="00A0109D" w:rsidRPr="00CD4735">
        <w:t>тябре</w:t>
      </w:r>
      <w:r w:rsidRPr="00CD4735">
        <w:t xml:space="preserve"> </w:t>
      </w:r>
      <w:r w:rsidR="001C0047" w:rsidRPr="00CD4735">
        <w:t>2020</w:t>
      </w:r>
      <w:r w:rsidR="00535C29" w:rsidRPr="00CD4735">
        <w:t> </w:t>
      </w:r>
      <w:r w:rsidR="001C0047" w:rsidRPr="00CD4735">
        <w:t xml:space="preserve">г. в республику прибыло </w:t>
      </w:r>
      <w:r w:rsidR="006029CB" w:rsidRPr="00CD4735">
        <w:t>12344</w:t>
      </w:r>
      <w:r w:rsidR="002070DA" w:rsidRPr="00CD4735">
        <w:t xml:space="preserve"> человек</w:t>
      </w:r>
      <w:r w:rsidR="00A46EBD" w:rsidRPr="00CD4735">
        <w:t>а</w:t>
      </w:r>
      <w:r w:rsidR="002070DA" w:rsidRPr="00CD4735">
        <w:t xml:space="preserve"> (</w:t>
      </w:r>
      <w:r w:rsidR="006029CB" w:rsidRPr="00CD4735">
        <w:t>93,2</w:t>
      </w:r>
      <w:r w:rsidRPr="00CD4735">
        <w:t>% к</w:t>
      </w:r>
      <w:r w:rsidR="007104F2" w:rsidRPr="00CD4735">
        <w:t xml:space="preserve"> январю-</w:t>
      </w:r>
      <w:r w:rsidR="006029CB" w:rsidRPr="00CD4735">
        <w:t>ок</w:t>
      </w:r>
      <w:r w:rsidR="00A0109D" w:rsidRPr="00CD4735">
        <w:t>тябрю</w:t>
      </w:r>
      <w:r w:rsidRPr="00CD4735">
        <w:t xml:space="preserve"> 201</w:t>
      </w:r>
      <w:r w:rsidR="001C0047" w:rsidRPr="00CD4735">
        <w:t>9</w:t>
      </w:r>
      <w:r w:rsidR="00A0109D" w:rsidRPr="00CD4735">
        <w:t> </w:t>
      </w:r>
      <w:r w:rsidRPr="00CD4735">
        <w:t>г.), выбыло за пределы республ</w:t>
      </w:r>
      <w:r w:rsidR="001C0047" w:rsidRPr="00CD4735">
        <w:t xml:space="preserve">ики </w:t>
      </w:r>
      <w:r w:rsidR="006029CB" w:rsidRPr="00CD4735">
        <w:t>13620</w:t>
      </w:r>
      <w:r w:rsidR="003E7749" w:rsidRPr="00CD4735">
        <w:t xml:space="preserve"> </w:t>
      </w:r>
      <w:r w:rsidR="00EF7352" w:rsidRPr="00CD4735">
        <w:t>человек</w:t>
      </w:r>
      <w:r w:rsidR="00A46EBD" w:rsidRPr="00CD4735">
        <w:t>а</w:t>
      </w:r>
      <w:r w:rsidR="00EF7352" w:rsidRPr="00CD4735">
        <w:t xml:space="preserve"> (</w:t>
      </w:r>
      <w:r w:rsidR="006029CB" w:rsidRPr="00CD4735">
        <w:t>91,3</w:t>
      </w:r>
      <w:r w:rsidRPr="00CD4735">
        <w:t xml:space="preserve">%), миграционная убыль составила </w:t>
      </w:r>
      <w:r w:rsidR="006029CB" w:rsidRPr="00CD4735">
        <w:t>1276</w:t>
      </w:r>
      <w:r w:rsidRPr="00CD4735">
        <w:t xml:space="preserve"> человек. </w:t>
      </w:r>
    </w:p>
    <w:p w:rsidR="00EF0D35" w:rsidRPr="00CD4735" w:rsidRDefault="00EF0D35" w:rsidP="00C6509B">
      <w:pPr>
        <w:ind w:firstLine="709"/>
        <w:jc w:val="both"/>
      </w:pPr>
    </w:p>
    <w:p w:rsidR="00952E54" w:rsidRPr="00CD4735" w:rsidRDefault="00952E54" w:rsidP="00952E54">
      <w:pPr>
        <w:ind w:firstLine="709"/>
        <w:jc w:val="both"/>
      </w:pPr>
      <w:proofErr w:type="gramStart"/>
      <w:r w:rsidRPr="00CD4735">
        <w:rPr>
          <w:b/>
          <w:bCs/>
        </w:rPr>
        <w:t>Внешнеторговый оборот</w:t>
      </w:r>
      <w:r w:rsidRPr="00CD4735">
        <w:t xml:space="preserve"> Чувашской Республики по данным Приволжского таможенного управления в январе</w:t>
      </w:r>
      <w:r w:rsidR="00414880" w:rsidRPr="00CD4735">
        <w:t>-</w:t>
      </w:r>
      <w:r w:rsidR="001579CD" w:rsidRPr="00CD4735">
        <w:t>ок</w:t>
      </w:r>
      <w:r w:rsidR="00245626" w:rsidRPr="00CD4735">
        <w:t>тябре</w:t>
      </w:r>
      <w:r w:rsidRPr="00CD4735">
        <w:t xml:space="preserve"> 2020 г. составил </w:t>
      </w:r>
      <w:r w:rsidR="001579CD" w:rsidRPr="00CD4735">
        <w:t>421,8</w:t>
      </w:r>
      <w:r w:rsidR="0096253A" w:rsidRPr="00CD4735">
        <w:t xml:space="preserve"> </w:t>
      </w:r>
      <w:r w:rsidRPr="00CD4735">
        <w:t>млн. долл.</w:t>
      </w:r>
      <w:r w:rsidR="00282406" w:rsidRPr="00CD4735">
        <w:t xml:space="preserve"> США</w:t>
      </w:r>
      <w:r w:rsidR="00396F35" w:rsidRPr="00CD4735">
        <w:t xml:space="preserve">, </w:t>
      </w:r>
      <w:r w:rsidR="00282406" w:rsidRPr="00CD4735">
        <w:t xml:space="preserve">в том числе </w:t>
      </w:r>
      <w:r w:rsidRPr="00CD4735">
        <w:t xml:space="preserve">экспорт </w:t>
      </w:r>
      <w:r w:rsidR="00396F35" w:rsidRPr="00CD4735">
        <w:t xml:space="preserve">– </w:t>
      </w:r>
      <w:r w:rsidR="00B66F15">
        <w:t>1</w:t>
      </w:r>
      <w:r w:rsidR="00B66F15" w:rsidRPr="00922214">
        <w:t>7</w:t>
      </w:r>
      <w:r w:rsidR="001A30EF" w:rsidRPr="00CD4735">
        <w:t>8,</w:t>
      </w:r>
      <w:r w:rsidR="001579CD" w:rsidRPr="00CD4735">
        <w:t>5</w:t>
      </w:r>
      <w:r w:rsidR="009C3787" w:rsidRPr="00CD4735">
        <w:t xml:space="preserve"> </w:t>
      </w:r>
      <w:r w:rsidRPr="00CD4735">
        <w:t>млн. долл. США</w:t>
      </w:r>
      <w:r w:rsidR="00282406" w:rsidRPr="00CD4735">
        <w:t xml:space="preserve">, </w:t>
      </w:r>
      <w:r w:rsidR="007D3B26" w:rsidRPr="00CD4735">
        <w:t>имп</w:t>
      </w:r>
      <w:r w:rsidR="007B32B1" w:rsidRPr="00CD4735">
        <w:t xml:space="preserve">орт </w:t>
      </w:r>
      <w:r w:rsidR="00396F35" w:rsidRPr="00CD4735">
        <w:t xml:space="preserve">– </w:t>
      </w:r>
      <w:r w:rsidR="001579CD" w:rsidRPr="00CD4735">
        <w:t>243,3</w:t>
      </w:r>
      <w:r w:rsidR="009C3787" w:rsidRPr="00CD4735">
        <w:t xml:space="preserve"> </w:t>
      </w:r>
      <w:r w:rsidR="00282406" w:rsidRPr="00CD4735">
        <w:t>млн. долл. США.</w:t>
      </w:r>
      <w:proofErr w:type="gramEnd"/>
    </w:p>
    <w:p w:rsidR="00D95615" w:rsidRPr="00CD4735" w:rsidRDefault="00C6509B" w:rsidP="0056482F">
      <w:pPr>
        <w:ind w:firstLine="709"/>
        <w:jc w:val="both"/>
      </w:pPr>
      <w:r w:rsidRPr="00CD4735">
        <w:t>Торговыми партн</w:t>
      </w:r>
      <w:r w:rsidR="008C3A2E" w:rsidRPr="00CD4735">
        <w:t>ерами Чувашской Республики в январе</w:t>
      </w:r>
      <w:r w:rsidR="00514353" w:rsidRPr="00CD4735">
        <w:t>-</w:t>
      </w:r>
      <w:r w:rsidR="001579CD" w:rsidRPr="00CD4735">
        <w:t>ок</w:t>
      </w:r>
      <w:r w:rsidR="00245626" w:rsidRPr="00CD4735">
        <w:t>тябре</w:t>
      </w:r>
      <w:r w:rsidR="008C3A2E" w:rsidRPr="00CD4735">
        <w:t xml:space="preserve"> 2020</w:t>
      </w:r>
      <w:r w:rsidR="00113AA5" w:rsidRPr="00CD4735">
        <w:t> </w:t>
      </w:r>
      <w:r w:rsidR="00801A3C" w:rsidRPr="00CD4735">
        <w:t>г. являл</w:t>
      </w:r>
      <w:r w:rsidR="0067150E" w:rsidRPr="00CD4735">
        <w:t>и</w:t>
      </w:r>
      <w:r w:rsidRPr="00CD4735">
        <w:t xml:space="preserve">сь </w:t>
      </w:r>
      <w:r w:rsidR="001A30EF" w:rsidRPr="00CD4735">
        <w:t>9</w:t>
      </w:r>
      <w:r w:rsidR="005532E7" w:rsidRPr="00CD4735">
        <w:t>5</w:t>
      </w:r>
      <w:r w:rsidR="00AF4A56" w:rsidRPr="00CD4735">
        <w:t> </w:t>
      </w:r>
      <w:r w:rsidRPr="00CD4735">
        <w:t xml:space="preserve">стран. Основными торговыми партнерами были страны дальнего зарубежья, их </w:t>
      </w:r>
      <w:r w:rsidR="008C3A2E" w:rsidRPr="00CD4735">
        <w:t xml:space="preserve">доля в </w:t>
      </w:r>
      <w:r w:rsidR="00514353" w:rsidRPr="00CD4735">
        <w:t xml:space="preserve">товарообороте составила </w:t>
      </w:r>
      <w:r w:rsidR="007B32B1" w:rsidRPr="00CD4735">
        <w:t>6</w:t>
      </w:r>
      <w:r w:rsidR="00E64C51" w:rsidRPr="00CD4735">
        <w:t>4,</w:t>
      </w:r>
      <w:r w:rsidR="00801A3C" w:rsidRPr="00CD4735">
        <w:t>3</w:t>
      </w:r>
      <w:r w:rsidR="0060565B" w:rsidRPr="00CD4735">
        <w:t xml:space="preserve">%, в том числе в экспорте </w:t>
      </w:r>
      <w:r w:rsidR="007B32B1" w:rsidRPr="00CD4735">
        <w:t xml:space="preserve">– </w:t>
      </w:r>
      <w:r w:rsidR="00E64C51" w:rsidRPr="00CD4735">
        <w:t>39,</w:t>
      </w:r>
      <w:r w:rsidR="00B66F15" w:rsidRPr="00B66F15">
        <w:t>0</w:t>
      </w:r>
      <w:r w:rsidR="00E01B05" w:rsidRPr="00CD4735">
        <w:t>%, в импорте –</w:t>
      </w:r>
      <w:r w:rsidR="008A0F37" w:rsidRPr="00CD4735">
        <w:t xml:space="preserve"> </w:t>
      </w:r>
      <w:r w:rsidR="005B75A0" w:rsidRPr="00CD4735">
        <w:t>8</w:t>
      </w:r>
      <w:r w:rsidR="001A30EF" w:rsidRPr="00CD4735">
        <w:t>2,</w:t>
      </w:r>
      <w:r w:rsidR="00E64C51" w:rsidRPr="00CD4735">
        <w:t>8</w:t>
      </w:r>
      <w:r w:rsidRPr="00CD4735">
        <w:t>%.</w:t>
      </w:r>
    </w:p>
    <w:p w:rsidR="005334C8" w:rsidRPr="00E54890" w:rsidRDefault="005334C8" w:rsidP="005334C8">
      <w:pPr>
        <w:ind w:firstLine="709"/>
        <w:jc w:val="both"/>
      </w:pPr>
      <w:r w:rsidRPr="00CD4735">
        <w:t xml:space="preserve">Для достижения цели создания в базовых отраслях экономики высокопроизводительного </w:t>
      </w:r>
      <w:proofErr w:type="spellStart"/>
      <w:r w:rsidRPr="00CD4735">
        <w:t>экспортноориентированного</w:t>
      </w:r>
      <w:proofErr w:type="spellEnd"/>
      <w:r w:rsidRPr="00CD4735">
        <w:t xml:space="preserve"> сектора реализуются мероприятия региональных проектов Чувашской Республики, направленных на реализацию национального проекта «Международная кооперация и экспорт» и федеральных проектов, входящих в его состав: «Системные меры содействия международной кооперации и экспорту», «Промышленный экспорт», «Экспорт продукции АПК», «Экспорт услуг».</w:t>
      </w:r>
    </w:p>
    <w:p w:rsidR="005334C8" w:rsidRPr="00E54890" w:rsidRDefault="005334C8" w:rsidP="0056482F">
      <w:pPr>
        <w:ind w:firstLine="709"/>
        <w:jc w:val="both"/>
      </w:pPr>
      <w:bookmarkStart w:id="0" w:name="_GoBack"/>
      <w:bookmarkEnd w:id="0"/>
    </w:p>
    <w:sectPr w:rsidR="005334C8" w:rsidRPr="00E54890" w:rsidSect="007037CC">
      <w:headerReference w:type="default" r:id="rId8"/>
      <w:pgSz w:w="11907" w:h="16840" w:code="9"/>
      <w:pgMar w:top="1134" w:right="964" w:bottom="907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A8" w:rsidRDefault="00E939A8">
      <w:r>
        <w:separator/>
      </w:r>
    </w:p>
  </w:endnote>
  <w:endnote w:type="continuationSeparator" w:id="0">
    <w:p w:rsidR="00E939A8" w:rsidRDefault="00E9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A8" w:rsidRDefault="00E939A8">
      <w:r>
        <w:separator/>
      </w:r>
    </w:p>
  </w:footnote>
  <w:footnote w:type="continuationSeparator" w:id="0">
    <w:p w:rsidR="00E939A8" w:rsidRDefault="00E9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1289"/>
      <w:docPartObj>
        <w:docPartGallery w:val="Page Numbers (Top of Page)"/>
        <w:docPartUnique/>
      </w:docPartObj>
    </w:sdtPr>
    <w:sdtEndPr/>
    <w:sdtContent>
      <w:p w:rsidR="007D205B" w:rsidRDefault="007D20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65">
          <w:rPr>
            <w:noProof/>
          </w:rPr>
          <w:t>2</w:t>
        </w:r>
        <w:r>
          <w:fldChar w:fldCharType="end"/>
        </w:r>
      </w:p>
    </w:sdtContent>
  </w:sdt>
  <w:p w:rsidR="007D205B" w:rsidRDefault="007D20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28AA"/>
    <w:multiLevelType w:val="hybridMultilevel"/>
    <w:tmpl w:val="1206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40"/>
    <w:rsid w:val="000011F2"/>
    <w:rsid w:val="00002CD1"/>
    <w:rsid w:val="00002F8D"/>
    <w:rsid w:val="00002FEF"/>
    <w:rsid w:val="0000738D"/>
    <w:rsid w:val="00012BD7"/>
    <w:rsid w:val="00012DA2"/>
    <w:rsid w:val="00012F48"/>
    <w:rsid w:val="0001700C"/>
    <w:rsid w:val="00020C89"/>
    <w:rsid w:val="00021CA3"/>
    <w:rsid w:val="00022D00"/>
    <w:rsid w:val="00022F2C"/>
    <w:rsid w:val="000239CA"/>
    <w:rsid w:val="000255A3"/>
    <w:rsid w:val="000255C3"/>
    <w:rsid w:val="00025DF6"/>
    <w:rsid w:val="00026340"/>
    <w:rsid w:val="00026F77"/>
    <w:rsid w:val="000271F5"/>
    <w:rsid w:val="00032587"/>
    <w:rsid w:val="00033A3D"/>
    <w:rsid w:val="00034872"/>
    <w:rsid w:val="00035AFF"/>
    <w:rsid w:val="00037FFE"/>
    <w:rsid w:val="000406CF"/>
    <w:rsid w:val="00040F34"/>
    <w:rsid w:val="00041706"/>
    <w:rsid w:val="00044AED"/>
    <w:rsid w:val="00050740"/>
    <w:rsid w:val="00050C92"/>
    <w:rsid w:val="00052671"/>
    <w:rsid w:val="000538A1"/>
    <w:rsid w:val="000554BB"/>
    <w:rsid w:val="000570A5"/>
    <w:rsid w:val="000602EB"/>
    <w:rsid w:val="00062ECE"/>
    <w:rsid w:val="000633A1"/>
    <w:rsid w:val="00063AF3"/>
    <w:rsid w:val="000705BE"/>
    <w:rsid w:val="00070F08"/>
    <w:rsid w:val="000717D0"/>
    <w:rsid w:val="000719A0"/>
    <w:rsid w:val="00072B5B"/>
    <w:rsid w:val="00074CBC"/>
    <w:rsid w:val="000772D5"/>
    <w:rsid w:val="00081B69"/>
    <w:rsid w:val="00081B98"/>
    <w:rsid w:val="00083BFE"/>
    <w:rsid w:val="000846F7"/>
    <w:rsid w:val="00085A48"/>
    <w:rsid w:val="00085AAC"/>
    <w:rsid w:val="00090991"/>
    <w:rsid w:val="000923AF"/>
    <w:rsid w:val="00092570"/>
    <w:rsid w:val="00092888"/>
    <w:rsid w:val="000948BE"/>
    <w:rsid w:val="00095A0E"/>
    <w:rsid w:val="000962C3"/>
    <w:rsid w:val="00097C3D"/>
    <w:rsid w:val="000A01CB"/>
    <w:rsid w:val="000A0A14"/>
    <w:rsid w:val="000A3E6E"/>
    <w:rsid w:val="000A4380"/>
    <w:rsid w:val="000A4DE5"/>
    <w:rsid w:val="000B2846"/>
    <w:rsid w:val="000B30FF"/>
    <w:rsid w:val="000B4048"/>
    <w:rsid w:val="000B4EFA"/>
    <w:rsid w:val="000B5B1A"/>
    <w:rsid w:val="000B6ADB"/>
    <w:rsid w:val="000B6DB0"/>
    <w:rsid w:val="000B70CB"/>
    <w:rsid w:val="000B7562"/>
    <w:rsid w:val="000C033C"/>
    <w:rsid w:val="000C0951"/>
    <w:rsid w:val="000C1415"/>
    <w:rsid w:val="000C2E4B"/>
    <w:rsid w:val="000C73EF"/>
    <w:rsid w:val="000C7761"/>
    <w:rsid w:val="000D1116"/>
    <w:rsid w:val="000D4848"/>
    <w:rsid w:val="000D492F"/>
    <w:rsid w:val="000E252C"/>
    <w:rsid w:val="000E3D89"/>
    <w:rsid w:val="000E5DC0"/>
    <w:rsid w:val="000E64BB"/>
    <w:rsid w:val="000F1472"/>
    <w:rsid w:val="000F1643"/>
    <w:rsid w:val="000F1DB6"/>
    <w:rsid w:val="000F3475"/>
    <w:rsid w:val="000F412D"/>
    <w:rsid w:val="000F536C"/>
    <w:rsid w:val="000F6927"/>
    <w:rsid w:val="00101AFE"/>
    <w:rsid w:val="001026F2"/>
    <w:rsid w:val="0010540E"/>
    <w:rsid w:val="001071A6"/>
    <w:rsid w:val="00107579"/>
    <w:rsid w:val="00107609"/>
    <w:rsid w:val="00110D47"/>
    <w:rsid w:val="00112C81"/>
    <w:rsid w:val="00113AA5"/>
    <w:rsid w:val="00115521"/>
    <w:rsid w:val="00116B16"/>
    <w:rsid w:val="001209B7"/>
    <w:rsid w:val="001212EA"/>
    <w:rsid w:val="0012228B"/>
    <w:rsid w:val="00123274"/>
    <w:rsid w:val="00123908"/>
    <w:rsid w:val="00123AF7"/>
    <w:rsid w:val="00124E95"/>
    <w:rsid w:val="00125828"/>
    <w:rsid w:val="0012642D"/>
    <w:rsid w:val="00126CE2"/>
    <w:rsid w:val="0013002E"/>
    <w:rsid w:val="00130B72"/>
    <w:rsid w:val="0013149E"/>
    <w:rsid w:val="001319F4"/>
    <w:rsid w:val="00132BE9"/>
    <w:rsid w:val="00134937"/>
    <w:rsid w:val="00135DFE"/>
    <w:rsid w:val="00137A00"/>
    <w:rsid w:val="001420D3"/>
    <w:rsid w:val="00142467"/>
    <w:rsid w:val="00143081"/>
    <w:rsid w:val="0014392F"/>
    <w:rsid w:val="00146F2D"/>
    <w:rsid w:val="00150DF4"/>
    <w:rsid w:val="00151222"/>
    <w:rsid w:val="0015338A"/>
    <w:rsid w:val="0015373B"/>
    <w:rsid w:val="001548D5"/>
    <w:rsid w:val="00157540"/>
    <w:rsid w:val="001575CB"/>
    <w:rsid w:val="001579CD"/>
    <w:rsid w:val="00157E13"/>
    <w:rsid w:val="0016192B"/>
    <w:rsid w:val="0016443A"/>
    <w:rsid w:val="00164DB5"/>
    <w:rsid w:val="00166020"/>
    <w:rsid w:val="0017042A"/>
    <w:rsid w:val="00173C30"/>
    <w:rsid w:val="00177495"/>
    <w:rsid w:val="0018093B"/>
    <w:rsid w:val="00180B6B"/>
    <w:rsid w:val="00181BB6"/>
    <w:rsid w:val="001826B9"/>
    <w:rsid w:val="00183B41"/>
    <w:rsid w:val="001843AA"/>
    <w:rsid w:val="001849B5"/>
    <w:rsid w:val="001851A4"/>
    <w:rsid w:val="00185F9C"/>
    <w:rsid w:val="001872BF"/>
    <w:rsid w:val="00190D39"/>
    <w:rsid w:val="00192B31"/>
    <w:rsid w:val="00193395"/>
    <w:rsid w:val="00194481"/>
    <w:rsid w:val="00196987"/>
    <w:rsid w:val="0019764D"/>
    <w:rsid w:val="001A0FBF"/>
    <w:rsid w:val="001A19D8"/>
    <w:rsid w:val="001A30EF"/>
    <w:rsid w:val="001A35C7"/>
    <w:rsid w:val="001A4F69"/>
    <w:rsid w:val="001A5F55"/>
    <w:rsid w:val="001A6E0A"/>
    <w:rsid w:val="001A739D"/>
    <w:rsid w:val="001A7EE2"/>
    <w:rsid w:val="001B291A"/>
    <w:rsid w:val="001B51C2"/>
    <w:rsid w:val="001B547F"/>
    <w:rsid w:val="001B69D5"/>
    <w:rsid w:val="001C0047"/>
    <w:rsid w:val="001C0351"/>
    <w:rsid w:val="001C2A70"/>
    <w:rsid w:val="001D3CC6"/>
    <w:rsid w:val="001D49C4"/>
    <w:rsid w:val="001D50B4"/>
    <w:rsid w:val="001D5214"/>
    <w:rsid w:val="001E0B40"/>
    <w:rsid w:val="001E10F7"/>
    <w:rsid w:val="001E2543"/>
    <w:rsid w:val="001E26C3"/>
    <w:rsid w:val="001E4213"/>
    <w:rsid w:val="001E505C"/>
    <w:rsid w:val="001F0B47"/>
    <w:rsid w:val="001F0C47"/>
    <w:rsid w:val="001F1DE9"/>
    <w:rsid w:val="001F49F7"/>
    <w:rsid w:val="001F4A31"/>
    <w:rsid w:val="001F552D"/>
    <w:rsid w:val="001F5EEA"/>
    <w:rsid w:val="001F5F70"/>
    <w:rsid w:val="001F66F6"/>
    <w:rsid w:val="001F68E8"/>
    <w:rsid w:val="001F6D0B"/>
    <w:rsid w:val="001F733E"/>
    <w:rsid w:val="001F7FA6"/>
    <w:rsid w:val="002009A7"/>
    <w:rsid w:val="00203795"/>
    <w:rsid w:val="0020417F"/>
    <w:rsid w:val="00204AC6"/>
    <w:rsid w:val="002070DA"/>
    <w:rsid w:val="0021087C"/>
    <w:rsid w:val="00211966"/>
    <w:rsid w:val="002154CB"/>
    <w:rsid w:val="00216E04"/>
    <w:rsid w:val="00217E9A"/>
    <w:rsid w:val="002209D3"/>
    <w:rsid w:val="002210B0"/>
    <w:rsid w:val="002227EB"/>
    <w:rsid w:val="002233CC"/>
    <w:rsid w:val="0022342F"/>
    <w:rsid w:val="002242D5"/>
    <w:rsid w:val="00230437"/>
    <w:rsid w:val="002306A9"/>
    <w:rsid w:val="002339B2"/>
    <w:rsid w:val="002340BB"/>
    <w:rsid w:val="002366E9"/>
    <w:rsid w:val="00236F46"/>
    <w:rsid w:val="0024095C"/>
    <w:rsid w:val="002411BF"/>
    <w:rsid w:val="00245372"/>
    <w:rsid w:val="00245626"/>
    <w:rsid w:val="00246069"/>
    <w:rsid w:val="00246A3D"/>
    <w:rsid w:val="00246E0C"/>
    <w:rsid w:val="00251832"/>
    <w:rsid w:val="002518D5"/>
    <w:rsid w:val="00256541"/>
    <w:rsid w:val="00256F1E"/>
    <w:rsid w:val="0025719B"/>
    <w:rsid w:val="002578AE"/>
    <w:rsid w:val="002601E7"/>
    <w:rsid w:val="00262B5B"/>
    <w:rsid w:val="00262F76"/>
    <w:rsid w:val="002717B5"/>
    <w:rsid w:val="002728B5"/>
    <w:rsid w:val="00272A08"/>
    <w:rsid w:val="00275C95"/>
    <w:rsid w:val="00276BF1"/>
    <w:rsid w:val="00280467"/>
    <w:rsid w:val="00282406"/>
    <w:rsid w:val="00283F14"/>
    <w:rsid w:val="00284868"/>
    <w:rsid w:val="00284BDE"/>
    <w:rsid w:val="00286C53"/>
    <w:rsid w:val="00287199"/>
    <w:rsid w:val="00290420"/>
    <w:rsid w:val="002906CB"/>
    <w:rsid w:val="00290D74"/>
    <w:rsid w:val="00292CCC"/>
    <w:rsid w:val="00293967"/>
    <w:rsid w:val="00293B5A"/>
    <w:rsid w:val="00293BCC"/>
    <w:rsid w:val="0029455A"/>
    <w:rsid w:val="0029740C"/>
    <w:rsid w:val="002A1998"/>
    <w:rsid w:val="002A249F"/>
    <w:rsid w:val="002A2F06"/>
    <w:rsid w:val="002A3243"/>
    <w:rsid w:val="002A3733"/>
    <w:rsid w:val="002A61F4"/>
    <w:rsid w:val="002B0304"/>
    <w:rsid w:val="002B08BE"/>
    <w:rsid w:val="002B0A7D"/>
    <w:rsid w:val="002B0CFB"/>
    <w:rsid w:val="002B28A1"/>
    <w:rsid w:val="002B2D75"/>
    <w:rsid w:val="002B35A4"/>
    <w:rsid w:val="002B71F2"/>
    <w:rsid w:val="002B7207"/>
    <w:rsid w:val="002B7694"/>
    <w:rsid w:val="002C1402"/>
    <w:rsid w:val="002C2B88"/>
    <w:rsid w:val="002C4648"/>
    <w:rsid w:val="002C530A"/>
    <w:rsid w:val="002C746A"/>
    <w:rsid w:val="002D20D2"/>
    <w:rsid w:val="002D3A31"/>
    <w:rsid w:val="002D4503"/>
    <w:rsid w:val="002D4812"/>
    <w:rsid w:val="002D48AF"/>
    <w:rsid w:val="002D500F"/>
    <w:rsid w:val="002D5DBE"/>
    <w:rsid w:val="002D5F99"/>
    <w:rsid w:val="002D643E"/>
    <w:rsid w:val="002D67E0"/>
    <w:rsid w:val="002D7017"/>
    <w:rsid w:val="002E17BE"/>
    <w:rsid w:val="002F0761"/>
    <w:rsid w:val="002F16E0"/>
    <w:rsid w:val="002F1820"/>
    <w:rsid w:val="002F3F45"/>
    <w:rsid w:val="002F53B0"/>
    <w:rsid w:val="00303CC4"/>
    <w:rsid w:val="00303D0F"/>
    <w:rsid w:val="003059E1"/>
    <w:rsid w:val="00306F66"/>
    <w:rsid w:val="00312858"/>
    <w:rsid w:val="00313CDD"/>
    <w:rsid w:val="003144F2"/>
    <w:rsid w:val="003165D2"/>
    <w:rsid w:val="00316E3A"/>
    <w:rsid w:val="003211D9"/>
    <w:rsid w:val="003225E8"/>
    <w:rsid w:val="00327FA7"/>
    <w:rsid w:val="00332890"/>
    <w:rsid w:val="003334A7"/>
    <w:rsid w:val="003371FC"/>
    <w:rsid w:val="0034027A"/>
    <w:rsid w:val="0034031E"/>
    <w:rsid w:val="003427B7"/>
    <w:rsid w:val="00344D7B"/>
    <w:rsid w:val="0035664E"/>
    <w:rsid w:val="00357B9D"/>
    <w:rsid w:val="003672A8"/>
    <w:rsid w:val="00376BBA"/>
    <w:rsid w:val="00382454"/>
    <w:rsid w:val="0038377A"/>
    <w:rsid w:val="003841F9"/>
    <w:rsid w:val="00385C3C"/>
    <w:rsid w:val="003868AC"/>
    <w:rsid w:val="00391B57"/>
    <w:rsid w:val="00392A3A"/>
    <w:rsid w:val="00396F35"/>
    <w:rsid w:val="00397489"/>
    <w:rsid w:val="0039756D"/>
    <w:rsid w:val="003A0842"/>
    <w:rsid w:val="003A1B63"/>
    <w:rsid w:val="003A301B"/>
    <w:rsid w:val="003A773B"/>
    <w:rsid w:val="003B083D"/>
    <w:rsid w:val="003B1858"/>
    <w:rsid w:val="003B4126"/>
    <w:rsid w:val="003B45C8"/>
    <w:rsid w:val="003B6493"/>
    <w:rsid w:val="003B68EB"/>
    <w:rsid w:val="003D148F"/>
    <w:rsid w:val="003D385C"/>
    <w:rsid w:val="003D3A04"/>
    <w:rsid w:val="003D3BE4"/>
    <w:rsid w:val="003D42FA"/>
    <w:rsid w:val="003D6D5B"/>
    <w:rsid w:val="003D77AF"/>
    <w:rsid w:val="003E0285"/>
    <w:rsid w:val="003E2144"/>
    <w:rsid w:val="003E2750"/>
    <w:rsid w:val="003E4106"/>
    <w:rsid w:val="003E4662"/>
    <w:rsid w:val="003E5785"/>
    <w:rsid w:val="003E5D97"/>
    <w:rsid w:val="003E7749"/>
    <w:rsid w:val="003F0443"/>
    <w:rsid w:val="003F1F58"/>
    <w:rsid w:val="003F38B9"/>
    <w:rsid w:val="003F42A7"/>
    <w:rsid w:val="003F6CCA"/>
    <w:rsid w:val="003F7EE9"/>
    <w:rsid w:val="00401AC5"/>
    <w:rsid w:val="0040215E"/>
    <w:rsid w:val="00405921"/>
    <w:rsid w:val="00406063"/>
    <w:rsid w:val="004061C4"/>
    <w:rsid w:val="00407523"/>
    <w:rsid w:val="00407AD1"/>
    <w:rsid w:val="00407D7B"/>
    <w:rsid w:val="004115A6"/>
    <w:rsid w:val="00411B45"/>
    <w:rsid w:val="004143BE"/>
    <w:rsid w:val="00414880"/>
    <w:rsid w:val="00415C52"/>
    <w:rsid w:val="004209E7"/>
    <w:rsid w:val="00421D40"/>
    <w:rsid w:val="00421E53"/>
    <w:rsid w:val="00422542"/>
    <w:rsid w:val="0042650F"/>
    <w:rsid w:val="004265D7"/>
    <w:rsid w:val="00431B37"/>
    <w:rsid w:val="00431E71"/>
    <w:rsid w:val="00433DF6"/>
    <w:rsid w:val="00434EED"/>
    <w:rsid w:val="0043551B"/>
    <w:rsid w:val="0043585C"/>
    <w:rsid w:val="00437585"/>
    <w:rsid w:val="00442D6B"/>
    <w:rsid w:val="00443561"/>
    <w:rsid w:val="00445114"/>
    <w:rsid w:val="00446D9F"/>
    <w:rsid w:val="004504DC"/>
    <w:rsid w:val="00451C63"/>
    <w:rsid w:val="00452804"/>
    <w:rsid w:val="00456EBD"/>
    <w:rsid w:val="00457C26"/>
    <w:rsid w:val="00461EF8"/>
    <w:rsid w:val="0046279C"/>
    <w:rsid w:val="00465BBF"/>
    <w:rsid w:val="004661AC"/>
    <w:rsid w:val="00467CFA"/>
    <w:rsid w:val="004706BF"/>
    <w:rsid w:val="0047242F"/>
    <w:rsid w:val="00472E64"/>
    <w:rsid w:val="004749DD"/>
    <w:rsid w:val="0047797A"/>
    <w:rsid w:val="00481393"/>
    <w:rsid w:val="00481BBA"/>
    <w:rsid w:val="00482FC0"/>
    <w:rsid w:val="004833DD"/>
    <w:rsid w:val="0048340D"/>
    <w:rsid w:val="004842CE"/>
    <w:rsid w:val="004842F2"/>
    <w:rsid w:val="00484953"/>
    <w:rsid w:val="00486954"/>
    <w:rsid w:val="00490FA1"/>
    <w:rsid w:val="00492B7A"/>
    <w:rsid w:val="004A08A5"/>
    <w:rsid w:val="004A0D72"/>
    <w:rsid w:val="004A5BE4"/>
    <w:rsid w:val="004A7237"/>
    <w:rsid w:val="004A7C15"/>
    <w:rsid w:val="004B00B0"/>
    <w:rsid w:val="004B0196"/>
    <w:rsid w:val="004B1435"/>
    <w:rsid w:val="004B21F4"/>
    <w:rsid w:val="004B51F4"/>
    <w:rsid w:val="004B5370"/>
    <w:rsid w:val="004B711B"/>
    <w:rsid w:val="004C1096"/>
    <w:rsid w:val="004D0792"/>
    <w:rsid w:val="004D1616"/>
    <w:rsid w:val="004D1D52"/>
    <w:rsid w:val="004D3D22"/>
    <w:rsid w:val="004D49B9"/>
    <w:rsid w:val="004D7119"/>
    <w:rsid w:val="004D7DAF"/>
    <w:rsid w:val="004E153B"/>
    <w:rsid w:val="004E23AC"/>
    <w:rsid w:val="004E2EDD"/>
    <w:rsid w:val="004E3CAC"/>
    <w:rsid w:val="004E42B1"/>
    <w:rsid w:val="004E6864"/>
    <w:rsid w:val="004E75BF"/>
    <w:rsid w:val="004F0F6A"/>
    <w:rsid w:val="004F1C47"/>
    <w:rsid w:val="004F1CA6"/>
    <w:rsid w:val="004F276B"/>
    <w:rsid w:val="004F7C96"/>
    <w:rsid w:val="00500A97"/>
    <w:rsid w:val="0050103E"/>
    <w:rsid w:val="00505477"/>
    <w:rsid w:val="00505C6C"/>
    <w:rsid w:val="00511483"/>
    <w:rsid w:val="00511DCA"/>
    <w:rsid w:val="00514353"/>
    <w:rsid w:val="0051545C"/>
    <w:rsid w:val="00516698"/>
    <w:rsid w:val="0052010E"/>
    <w:rsid w:val="005223A7"/>
    <w:rsid w:val="0052259A"/>
    <w:rsid w:val="005249DD"/>
    <w:rsid w:val="0052565F"/>
    <w:rsid w:val="0052700C"/>
    <w:rsid w:val="005271F9"/>
    <w:rsid w:val="00531713"/>
    <w:rsid w:val="00532640"/>
    <w:rsid w:val="005334C8"/>
    <w:rsid w:val="00535C29"/>
    <w:rsid w:val="00535FC4"/>
    <w:rsid w:val="00537C0A"/>
    <w:rsid w:val="00540146"/>
    <w:rsid w:val="00540F4F"/>
    <w:rsid w:val="005414A3"/>
    <w:rsid w:val="00541B52"/>
    <w:rsid w:val="00542E64"/>
    <w:rsid w:val="00543A4B"/>
    <w:rsid w:val="00545580"/>
    <w:rsid w:val="005470E8"/>
    <w:rsid w:val="00547393"/>
    <w:rsid w:val="005516EB"/>
    <w:rsid w:val="005532E7"/>
    <w:rsid w:val="005533E0"/>
    <w:rsid w:val="00555244"/>
    <w:rsid w:val="00555676"/>
    <w:rsid w:val="00556633"/>
    <w:rsid w:val="00557D1F"/>
    <w:rsid w:val="0056011A"/>
    <w:rsid w:val="005618F5"/>
    <w:rsid w:val="00564513"/>
    <w:rsid w:val="0056482F"/>
    <w:rsid w:val="005655ED"/>
    <w:rsid w:val="00576151"/>
    <w:rsid w:val="00580566"/>
    <w:rsid w:val="00584161"/>
    <w:rsid w:val="005911C8"/>
    <w:rsid w:val="005923C6"/>
    <w:rsid w:val="00592BCA"/>
    <w:rsid w:val="00595518"/>
    <w:rsid w:val="005A1A71"/>
    <w:rsid w:val="005A66E4"/>
    <w:rsid w:val="005B75A0"/>
    <w:rsid w:val="005B7EC6"/>
    <w:rsid w:val="005C12B8"/>
    <w:rsid w:val="005C2B1D"/>
    <w:rsid w:val="005C43BD"/>
    <w:rsid w:val="005C5496"/>
    <w:rsid w:val="005C5C26"/>
    <w:rsid w:val="005C7FC2"/>
    <w:rsid w:val="005D15ED"/>
    <w:rsid w:val="005D1D43"/>
    <w:rsid w:val="005D29C4"/>
    <w:rsid w:val="005D2B2B"/>
    <w:rsid w:val="005D372A"/>
    <w:rsid w:val="005D5F31"/>
    <w:rsid w:val="005D6C86"/>
    <w:rsid w:val="005D7BFA"/>
    <w:rsid w:val="005E088F"/>
    <w:rsid w:val="005E2272"/>
    <w:rsid w:val="005E3830"/>
    <w:rsid w:val="005E4A64"/>
    <w:rsid w:val="005E65E9"/>
    <w:rsid w:val="005E746B"/>
    <w:rsid w:val="005E7E19"/>
    <w:rsid w:val="005F0DF0"/>
    <w:rsid w:val="005F1540"/>
    <w:rsid w:val="005F1CC7"/>
    <w:rsid w:val="005F211C"/>
    <w:rsid w:val="005F429E"/>
    <w:rsid w:val="005F4BAC"/>
    <w:rsid w:val="005F4CEB"/>
    <w:rsid w:val="005F7F6A"/>
    <w:rsid w:val="006029CB"/>
    <w:rsid w:val="0060565B"/>
    <w:rsid w:val="006065E1"/>
    <w:rsid w:val="00610CF4"/>
    <w:rsid w:val="00610DE5"/>
    <w:rsid w:val="0061111D"/>
    <w:rsid w:val="0061383E"/>
    <w:rsid w:val="006145CB"/>
    <w:rsid w:val="00617461"/>
    <w:rsid w:val="006232AE"/>
    <w:rsid w:val="006243BD"/>
    <w:rsid w:val="00625A11"/>
    <w:rsid w:val="0062610B"/>
    <w:rsid w:val="00626272"/>
    <w:rsid w:val="00626D43"/>
    <w:rsid w:val="006270F4"/>
    <w:rsid w:val="006341D0"/>
    <w:rsid w:val="00635054"/>
    <w:rsid w:val="006359BA"/>
    <w:rsid w:val="006360A9"/>
    <w:rsid w:val="006365B1"/>
    <w:rsid w:val="00636EE4"/>
    <w:rsid w:val="00637B1D"/>
    <w:rsid w:val="00640906"/>
    <w:rsid w:val="00640C19"/>
    <w:rsid w:val="00641D54"/>
    <w:rsid w:val="006425A9"/>
    <w:rsid w:val="00642C89"/>
    <w:rsid w:val="006437F6"/>
    <w:rsid w:val="00643B63"/>
    <w:rsid w:val="00644F4F"/>
    <w:rsid w:val="00647AAB"/>
    <w:rsid w:val="00647B98"/>
    <w:rsid w:val="00652234"/>
    <w:rsid w:val="006552E5"/>
    <w:rsid w:val="00655A5D"/>
    <w:rsid w:val="0065655D"/>
    <w:rsid w:val="00657A28"/>
    <w:rsid w:val="0066520B"/>
    <w:rsid w:val="006661B5"/>
    <w:rsid w:val="0067150E"/>
    <w:rsid w:val="00671AD5"/>
    <w:rsid w:val="00674781"/>
    <w:rsid w:val="00675041"/>
    <w:rsid w:val="006770E2"/>
    <w:rsid w:val="00680D85"/>
    <w:rsid w:val="00686784"/>
    <w:rsid w:val="00687A0E"/>
    <w:rsid w:val="0069057A"/>
    <w:rsid w:val="00693797"/>
    <w:rsid w:val="00693A27"/>
    <w:rsid w:val="00695483"/>
    <w:rsid w:val="006A00C3"/>
    <w:rsid w:val="006A07E1"/>
    <w:rsid w:val="006A0893"/>
    <w:rsid w:val="006A1E53"/>
    <w:rsid w:val="006A69E3"/>
    <w:rsid w:val="006A6D72"/>
    <w:rsid w:val="006A7ADE"/>
    <w:rsid w:val="006B2184"/>
    <w:rsid w:val="006B3B88"/>
    <w:rsid w:val="006B4DBF"/>
    <w:rsid w:val="006B6CF4"/>
    <w:rsid w:val="006C064E"/>
    <w:rsid w:val="006C101F"/>
    <w:rsid w:val="006C2A1A"/>
    <w:rsid w:val="006C2F62"/>
    <w:rsid w:val="006C3751"/>
    <w:rsid w:val="006C58F8"/>
    <w:rsid w:val="006C6ABC"/>
    <w:rsid w:val="006D0577"/>
    <w:rsid w:val="006D3C04"/>
    <w:rsid w:val="006D3C93"/>
    <w:rsid w:val="006D48A2"/>
    <w:rsid w:val="006E141A"/>
    <w:rsid w:val="006E1C61"/>
    <w:rsid w:val="006E2C67"/>
    <w:rsid w:val="006E2D1D"/>
    <w:rsid w:val="006E392B"/>
    <w:rsid w:val="006E5DBF"/>
    <w:rsid w:val="006E655B"/>
    <w:rsid w:val="006F0B4C"/>
    <w:rsid w:val="006F12CA"/>
    <w:rsid w:val="006F2B91"/>
    <w:rsid w:val="006F3E46"/>
    <w:rsid w:val="006F4A9F"/>
    <w:rsid w:val="006F54FF"/>
    <w:rsid w:val="006F5DD3"/>
    <w:rsid w:val="006F6558"/>
    <w:rsid w:val="007016B4"/>
    <w:rsid w:val="00702818"/>
    <w:rsid w:val="00702F3D"/>
    <w:rsid w:val="007037CC"/>
    <w:rsid w:val="00704DCE"/>
    <w:rsid w:val="00705A5B"/>
    <w:rsid w:val="007103A5"/>
    <w:rsid w:val="007104F2"/>
    <w:rsid w:val="00712C82"/>
    <w:rsid w:val="007145AB"/>
    <w:rsid w:val="00717372"/>
    <w:rsid w:val="00717980"/>
    <w:rsid w:val="00722D20"/>
    <w:rsid w:val="00725DA6"/>
    <w:rsid w:val="00726698"/>
    <w:rsid w:val="007267A0"/>
    <w:rsid w:val="00733A45"/>
    <w:rsid w:val="00734829"/>
    <w:rsid w:val="00734B6C"/>
    <w:rsid w:val="00734B9D"/>
    <w:rsid w:val="00736ECD"/>
    <w:rsid w:val="00737A5A"/>
    <w:rsid w:val="00737B82"/>
    <w:rsid w:val="00741A17"/>
    <w:rsid w:val="0074572D"/>
    <w:rsid w:val="00747888"/>
    <w:rsid w:val="00751254"/>
    <w:rsid w:val="007519C1"/>
    <w:rsid w:val="00753B37"/>
    <w:rsid w:val="00755844"/>
    <w:rsid w:val="007606B1"/>
    <w:rsid w:val="007611C6"/>
    <w:rsid w:val="0076146F"/>
    <w:rsid w:val="00763487"/>
    <w:rsid w:val="00764A0D"/>
    <w:rsid w:val="00766ACF"/>
    <w:rsid w:val="007671BC"/>
    <w:rsid w:val="00770709"/>
    <w:rsid w:val="007708F0"/>
    <w:rsid w:val="0077279B"/>
    <w:rsid w:val="00777BCB"/>
    <w:rsid w:val="00780DB8"/>
    <w:rsid w:val="00781A31"/>
    <w:rsid w:val="00781D3A"/>
    <w:rsid w:val="00782F6C"/>
    <w:rsid w:val="007834B4"/>
    <w:rsid w:val="0078566C"/>
    <w:rsid w:val="007903FA"/>
    <w:rsid w:val="00791643"/>
    <w:rsid w:val="00793B32"/>
    <w:rsid w:val="00794FA2"/>
    <w:rsid w:val="0079545E"/>
    <w:rsid w:val="00796E8D"/>
    <w:rsid w:val="007A102B"/>
    <w:rsid w:val="007A58E5"/>
    <w:rsid w:val="007A6D78"/>
    <w:rsid w:val="007A7F2B"/>
    <w:rsid w:val="007B02EB"/>
    <w:rsid w:val="007B1849"/>
    <w:rsid w:val="007B32B1"/>
    <w:rsid w:val="007B3B78"/>
    <w:rsid w:val="007B5B6F"/>
    <w:rsid w:val="007C15C6"/>
    <w:rsid w:val="007C1DB8"/>
    <w:rsid w:val="007C3080"/>
    <w:rsid w:val="007C3313"/>
    <w:rsid w:val="007C33BC"/>
    <w:rsid w:val="007C3E94"/>
    <w:rsid w:val="007C5418"/>
    <w:rsid w:val="007C5BC4"/>
    <w:rsid w:val="007C66EB"/>
    <w:rsid w:val="007D0903"/>
    <w:rsid w:val="007D205B"/>
    <w:rsid w:val="007D3B26"/>
    <w:rsid w:val="007D45DB"/>
    <w:rsid w:val="007D679F"/>
    <w:rsid w:val="007E0669"/>
    <w:rsid w:val="007E22F1"/>
    <w:rsid w:val="007E5EAB"/>
    <w:rsid w:val="007F0258"/>
    <w:rsid w:val="007F0F97"/>
    <w:rsid w:val="007F1BCB"/>
    <w:rsid w:val="007F32AD"/>
    <w:rsid w:val="007F3903"/>
    <w:rsid w:val="007F3A35"/>
    <w:rsid w:val="007F7289"/>
    <w:rsid w:val="007F7E7E"/>
    <w:rsid w:val="00800629"/>
    <w:rsid w:val="00800C70"/>
    <w:rsid w:val="0080111F"/>
    <w:rsid w:val="00801730"/>
    <w:rsid w:val="00801A3C"/>
    <w:rsid w:val="00801F6D"/>
    <w:rsid w:val="008046E6"/>
    <w:rsid w:val="00804F0F"/>
    <w:rsid w:val="00805936"/>
    <w:rsid w:val="0080596F"/>
    <w:rsid w:val="00806DE8"/>
    <w:rsid w:val="00812068"/>
    <w:rsid w:val="00814746"/>
    <w:rsid w:val="00814794"/>
    <w:rsid w:val="0081514A"/>
    <w:rsid w:val="00816325"/>
    <w:rsid w:val="00816F61"/>
    <w:rsid w:val="00817179"/>
    <w:rsid w:val="00820DDC"/>
    <w:rsid w:val="00826657"/>
    <w:rsid w:val="00826A70"/>
    <w:rsid w:val="00826ECD"/>
    <w:rsid w:val="0082700D"/>
    <w:rsid w:val="008270A7"/>
    <w:rsid w:val="008309BD"/>
    <w:rsid w:val="008313D9"/>
    <w:rsid w:val="008322A3"/>
    <w:rsid w:val="00835BE2"/>
    <w:rsid w:val="00836358"/>
    <w:rsid w:val="008373E4"/>
    <w:rsid w:val="008377A4"/>
    <w:rsid w:val="008378E5"/>
    <w:rsid w:val="00837A3B"/>
    <w:rsid w:val="00837A77"/>
    <w:rsid w:val="0084156A"/>
    <w:rsid w:val="008416A7"/>
    <w:rsid w:val="0084284A"/>
    <w:rsid w:val="008464F8"/>
    <w:rsid w:val="00850D44"/>
    <w:rsid w:val="00852EE5"/>
    <w:rsid w:val="00854813"/>
    <w:rsid w:val="00855F36"/>
    <w:rsid w:val="008631C5"/>
    <w:rsid w:val="008639C0"/>
    <w:rsid w:val="00865DF7"/>
    <w:rsid w:val="00866AE2"/>
    <w:rsid w:val="00867130"/>
    <w:rsid w:val="00867F45"/>
    <w:rsid w:val="0087018E"/>
    <w:rsid w:val="008706B3"/>
    <w:rsid w:val="00877AA5"/>
    <w:rsid w:val="00877DEA"/>
    <w:rsid w:val="0088120A"/>
    <w:rsid w:val="00882269"/>
    <w:rsid w:val="00882837"/>
    <w:rsid w:val="00884838"/>
    <w:rsid w:val="008858A7"/>
    <w:rsid w:val="00885C65"/>
    <w:rsid w:val="00886474"/>
    <w:rsid w:val="00886B06"/>
    <w:rsid w:val="00886C84"/>
    <w:rsid w:val="0089185F"/>
    <w:rsid w:val="00892053"/>
    <w:rsid w:val="00897C73"/>
    <w:rsid w:val="008A0F37"/>
    <w:rsid w:val="008A16E3"/>
    <w:rsid w:val="008A26F0"/>
    <w:rsid w:val="008A5445"/>
    <w:rsid w:val="008A55B9"/>
    <w:rsid w:val="008A6E05"/>
    <w:rsid w:val="008B1E87"/>
    <w:rsid w:val="008B2CDB"/>
    <w:rsid w:val="008B44D6"/>
    <w:rsid w:val="008B4999"/>
    <w:rsid w:val="008B6272"/>
    <w:rsid w:val="008C0CCE"/>
    <w:rsid w:val="008C1A42"/>
    <w:rsid w:val="008C2918"/>
    <w:rsid w:val="008C33E0"/>
    <w:rsid w:val="008C37E7"/>
    <w:rsid w:val="008C3A2E"/>
    <w:rsid w:val="008C4095"/>
    <w:rsid w:val="008C470B"/>
    <w:rsid w:val="008C6214"/>
    <w:rsid w:val="008C66EA"/>
    <w:rsid w:val="008C68B4"/>
    <w:rsid w:val="008C7C59"/>
    <w:rsid w:val="008D1C90"/>
    <w:rsid w:val="008D619C"/>
    <w:rsid w:val="008E0630"/>
    <w:rsid w:val="008F004A"/>
    <w:rsid w:val="008F0200"/>
    <w:rsid w:val="008F0BBE"/>
    <w:rsid w:val="008F1D37"/>
    <w:rsid w:val="008F22D0"/>
    <w:rsid w:val="008F3F21"/>
    <w:rsid w:val="008F451B"/>
    <w:rsid w:val="008F4700"/>
    <w:rsid w:val="008F481C"/>
    <w:rsid w:val="008F628B"/>
    <w:rsid w:val="008F67E6"/>
    <w:rsid w:val="008F69E9"/>
    <w:rsid w:val="008F6CFC"/>
    <w:rsid w:val="008F7C8A"/>
    <w:rsid w:val="008F7E21"/>
    <w:rsid w:val="009070E2"/>
    <w:rsid w:val="00910584"/>
    <w:rsid w:val="0091110C"/>
    <w:rsid w:val="00921893"/>
    <w:rsid w:val="00922214"/>
    <w:rsid w:val="009250FB"/>
    <w:rsid w:val="009269A6"/>
    <w:rsid w:val="009279F3"/>
    <w:rsid w:val="0093049E"/>
    <w:rsid w:val="009375D1"/>
    <w:rsid w:val="009410EF"/>
    <w:rsid w:val="00941408"/>
    <w:rsid w:val="0094197E"/>
    <w:rsid w:val="00941BF3"/>
    <w:rsid w:val="00945441"/>
    <w:rsid w:val="00945C8C"/>
    <w:rsid w:val="009467DB"/>
    <w:rsid w:val="009468FC"/>
    <w:rsid w:val="00952E54"/>
    <w:rsid w:val="00953189"/>
    <w:rsid w:val="009560BD"/>
    <w:rsid w:val="00957FB3"/>
    <w:rsid w:val="009614EA"/>
    <w:rsid w:val="0096157B"/>
    <w:rsid w:val="0096253A"/>
    <w:rsid w:val="0096613E"/>
    <w:rsid w:val="0096677F"/>
    <w:rsid w:val="00967EA3"/>
    <w:rsid w:val="00971E21"/>
    <w:rsid w:val="00971F59"/>
    <w:rsid w:val="00972A22"/>
    <w:rsid w:val="009744D7"/>
    <w:rsid w:val="00975AD5"/>
    <w:rsid w:val="009774BF"/>
    <w:rsid w:val="0098268E"/>
    <w:rsid w:val="009843FE"/>
    <w:rsid w:val="00984A8C"/>
    <w:rsid w:val="00986B5A"/>
    <w:rsid w:val="00987591"/>
    <w:rsid w:val="009957B8"/>
    <w:rsid w:val="00997265"/>
    <w:rsid w:val="0099733E"/>
    <w:rsid w:val="009A074B"/>
    <w:rsid w:val="009A0A09"/>
    <w:rsid w:val="009A49DD"/>
    <w:rsid w:val="009A5BB6"/>
    <w:rsid w:val="009A7094"/>
    <w:rsid w:val="009B012A"/>
    <w:rsid w:val="009B1462"/>
    <w:rsid w:val="009B30F0"/>
    <w:rsid w:val="009B5886"/>
    <w:rsid w:val="009B7DB7"/>
    <w:rsid w:val="009C0513"/>
    <w:rsid w:val="009C18C0"/>
    <w:rsid w:val="009C3787"/>
    <w:rsid w:val="009C59C1"/>
    <w:rsid w:val="009D1065"/>
    <w:rsid w:val="009D2741"/>
    <w:rsid w:val="009D2D65"/>
    <w:rsid w:val="009D6BAD"/>
    <w:rsid w:val="009E3780"/>
    <w:rsid w:val="009E5BAC"/>
    <w:rsid w:val="009E5E18"/>
    <w:rsid w:val="009E641E"/>
    <w:rsid w:val="009E7F3D"/>
    <w:rsid w:val="009F06BE"/>
    <w:rsid w:val="009F0839"/>
    <w:rsid w:val="009F0E95"/>
    <w:rsid w:val="009F3ADB"/>
    <w:rsid w:val="009F4D18"/>
    <w:rsid w:val="009F6103"/>
    <w:rsid w:val="009F778F"/>
    <w:rsid w:val="00A0109D"/>
    <w:rsid w:val="00A013E9"/>
    <w:rsid w:val="00A03B7F"/>
    <w:rsid w:val="00A07863"/>
    <w:rsid w:val="00A10A56"/>
    <w:rsid w:val="00A12ACC"/>
    <w:rsid w:val="00A14345"/>
    <w:rsid w:val="00A16607"/>
    <w:rsid w:val="00A17380"/>
    <w:rsid w:val="00A21FEA"/>
    <w:rsid w:val="00A237EB"/>
    <w:rsid w:val="00A239EE"/>
    <w:rsid w:val="00A23B5A"/>
    <w:rsid w:val="00A26123"/>
    <w:rsid w:val="00A3170F"/>
    <w:rsid w:val="00A33D2B"/>
    <w:rsid w:val="00A3752E"/>
    <w:rsid w:val="00A4059B"/>
    <w:rsid w:val="00A40AE8"/>
    <w:rsid w:val="00A40B91"/>
    <w:rsid w:val="00A412BE"/>
    <w:rsid w:val="00A41E05"/>
    <w:rsid w:val="00A431F5"/>
    <w:rsid w:val="00A46EBD"/>
    <w:rsid w:val="00A470B2"/>
    <w:rsid w:val="00A508C1"/>
    <w:rsid w:val="00A51824"/>
    <w:rsid w:val="00A5387D"/>
    <w:rsid w:val="00A5395F"/>
    <w:rsid w:val="00A57D59"/>
    <w:rsid w:val="00A57F08"/>
    <w:rsid w:val="00A62586"/>
    <w:rsid w:val="00A63171"/>
    <w:rsid w:val="00A654CC"/>
    <w:rsid w:val="00A672A4"/>
    <w:rsid w:val="00A7058E"/>
    <w:rsid w:val="00A72F84"/>
    <w:rsid w:val="00A74C93"/>
    <w:rsid w:val="00A750DF"/>
    <w:rsid w:val="00A76D9B"/>
    <w:rsid w:val="00A81AE4"/>
    <w:rsid w:val="00A8258E"/>
    <w:rsid w:val="00A8286B"/>
    <w:rsid w:val="00A846AD"/>
    <w:rsid w:val="00A85711"/>
    <w:rsid w:val="00A860AA"/>
    <w:rsid w:val="00A86638"/>
    <w:rsid w:val="00A87479"/>
    <w:rsid w:val="00A9347C"/>
    <w:rsid w:val="00A96DFE"/>
    <w:rsid w:val="00A97C3A"/>
    <w:rsid w:val="00A97C5E"/>
    <w:rsid w:val="00AA13B6"/>
    <w:rsid w:val="00AA1B05"/>
    <w:rsid w:val="00AA1DA3"/>
    <w:rsid w:val="00AA42BD"/>
    <w:rsid w:val="00AA5A79"/>
    <w:rsid w:val="00AB19AE"/>
    <w:rsid w:val="00AB3467"/>
    <w:rsid w:val="00AB4BA0"/>
    <w:rsid w:val="00AB5ECE"/>
    <w:rsid w:val="00AB70DA"/>
    <w:rsid w:val="00AC0CCF"/>
    <w:rsid w:val="00AC1333"/>
    <w:rsid w:val="00AC3EAF"/>
    <w:rsid w:val="00AD2E24"/>
    <w:rsid w:val="00AD54E7"/>
    <w:rsid w:val="00AE265E"/>
    <w:rsid w:val="00AE29FF"/>
    <w:rsid w:val="00AE2B54"/>
    <w:rsid w:val="00AE46F2"/>
    <w:rsid w:val="00AE74B2"/>
    <w:rsid w:val="00AF073C"/>
    <w:rsid w:val="00AF2E42"/>
    <w:rsid w:val="00AF4A56"/>
    <w:rsid w:val="00AF5265"/>
    <w:rsid w:val="00AF55E2"/>
    <w:rsid w:val="00AF71A7"/>
    <w:rsid w:val="00B007CE"/>
    <w:rsid w:val="00B00CD2"/>
    <w:rsid w:val="00B0369C"/>
    <w:rsid w:val="00B03DD2"/>
    <w:rsid w:val="00B042A0"/>
    <w:rsid w:val="00B044F2"/>
    <w:rsid w:val="00B0566C"/>
    <w:rsid w:val="00B172C2"/>
    <w:rsid w:val="00B20583"/>
    <w:rsid w:val="00B211B1"/>
    <w:rsid w:val="00B2259D"/>
    <w:rsid w:val="00B25B23"/>
    <w:rsid w:val="00B26855"/>
    <w:rsid w:val="00B27963"/>
    <w:rsid w:val="00B307C4"/>
    <w:rsid w:val="00B3113E"/>
    <w:rsid w:val="00B352E7"/>
    <w:rsid w:val="00B35561"/>
    <w:rsid w:val="00B35665"/>
    <w:rsid w:val="00B37A51"/>
    <w:rsid w:val="00B4108F"/>
    <w:rsid w:val="00B42EEA"/>
    <w:rsid w:val="00B4306C"/>
    <w:rsid w:val="00B456D9"/>
    <w:rsid w:val="00B469CB"/>
    <w:rsid w:val="00B47B53"/>
    <w:rsid w:val="00B5239D"/>
    <w:rsid w:val="00B557EE"/>
    <w:rsid w:val="00B5694B"/>
    <w:rsid w:val="00B6181E"/>
    <w:rsid w:val="00B657AB"/>
    <w:rsid w:val="00B66F15"/>
    <w:rsid w:val="00B671F6"/>
    <w:rsid w:val="00B7456C"/>
    <w:rsid w:val="00B75AF0"/>
    <w:rsid w:val="00B82384"/>
    <w:rsid w:val="00B83031"/>
    <w:rsid w:val="00B8617B"/>
    <w:rsid w:val="00B8670D"/>
    <w:rsid w:val="00B870DE"/>
    <w:rsid w:val="00B916F5"/>
    <w:rsid w:val="00B9360A"/>
    <w:rsid w:val="00B93B04"/>
    <w:rsid w:val="00B941DA"/>
    <w:rsid w:val="00B94E8B"/>
    <w:rsid w:val="00B965CF"/>
    <w:rsid w:val="00BA0111"/>
    <w:rsid w:val="00BA12B4"/>
    <w:rsid w:val="00BA206C"/>
    <w:rsid w:val="00BA2866"/>
    <w:rsid w:val="00BA3A56"/>
    <w:rsid w:val="00BB1027"/>
    <w:rsid w:val="00BB7472"/>
    <w:rsid w:val="00BB769E"/>
    <w:rsid w:val="00BC0B37"/>
    <w:rsid w:val="00BC3194"/>
    <w:rsid w:val="00BC4364"/>
    <w:rsid w:val="00BC58A0"/>
    <w:rsid w:val="00BC62AD"/>
    <w:rsid w:val="00BC760A"/>
    <w:rsid w:val="00BD434D"/>
    <w:rsid w:val="00BD669E"/>
    <w:rsid w:val="00BD6869"/>
    <w:rsid w:val="00BD7E0C"/>
    <w:rsid w:val="00BE11AB"/>
    <w:rsid w:val="00BE1EDC"/>
    <w:rsid w:val="00BE3E69"/>
    <w:rsid w:val="00BF01CC"/>
    <w:rsid w:val="00BF05AC"/>
    <w:rsid w:val="00BF5A57"/>
    <w:rsid w:val="00BF64C7"/>
    <w:rsid w:val="00BF733D"/>
    <w:rsid w:val="00C02CA9"/>
    <w:rsid w:val="00C03783"/>
    <w:rsid w:val="00C07110"/>
    <w:rsid w:val="00C104DA"/>
    <w:rsid w:val="00C13660"/>
    <w:rsid w:val="00C13FCF"/>
    <w:rsid w:val="00C14737"/>
    <w:rsid w:val="00C15B48"/>
    <w:rsid w:val="00C16949"/>
    <w:rsid w:val="00C20B8C"/>
    <w:rsid w:val="00C2122B"/>
    <w:rsid w:val="00C2143C"/>
    <w:rsid w:val="00C2364B"/>
    <w:rsid w:val="00C249D2"/>
    <w:rsid w:val="00C3153C"/>
    <w:rsid w:val="00C3181F"/>
    <w:rsid w:val="00C3217F"/>
    <w:rsid w:val="00C324A7"/>
    <w:rsid w:val="00C3257F"/>
    <w:rsid w:val="00C35882"/>
    <w:rsid w:val="00C36C09"/>
    <w:rsid w:val="00C40704"/>
    <w:rsid w:val="00C409BD"/>
    <w:rsid w:val="00C45125"/>
    <w:rsid w:val="00C47452"/>
    <w:rsid w:val="00C52C0C"/>
    <w:rsid w:val="00C531FC"/>
    <w:rsid w:val="00C5328C"/>
    <w:rsid w:val="00C53800"/>
    <w:rsid w:val="00C5381D"/>
    <w:rsid w:val="00C53E74"/>
    <w:rsid w:val="00C5447B"/>
    <w:rsid w:val="00C5495C"/>
    <w:rsid w:val="00C54FBD"/>
    <w:rsid w:val="00C555DB"/>
    <w:rsid w:val="00C5564F"/>
    <w:rsid w:val="00C55C96"/>
    <w:rsid w:val="00C6027D"/>
    <w:rsid w:val="00C6509B"/>
    <w:rsid w:val="00C676E0"/>
    <w:rsid w:val="00C70978"/>
    <w:rsid w:val="00C70EC5"/>
    <w:rsid w:val="00C71C91"/>
    <w:rsid w:val="00C72B04"/>
    <w:rsid w:val="00C73FAF"/>
    <w:rsid w:val="00C74919"/>
    <w:rsid w:val="00C772A7"/>
    <w:rsid w:val="00C77699"/>
    <w:rsid w:val="00C800DD"/>
    <w:rsid w:val="00C805A0"/>
    <w:rsid w:val="00C81F92"/>
    <w:rsid w:val="00C821FA"/>
    <w:rsid w:val="00C82CDD"/>
    <w:rsid w:val="00C850C3"/>
    <w:rsid w:val="00C8539C"/>
    <w:rsid w:val="00C8576C"/>
    <w:rsid w:val="00C94575"/>
    <w:rsid w:val="00C948C2"/>
    <w:rsid w:val="00C94B46"/>
    <w:rsid w:val="00C94CDF"/>
    <w:rsid w:val="00C971DD"/>
    <w:rsid w:val="00CA1B89"/>
    <w:rsid w:val="00CB38FD"/>
    <w:rsid w:val="00CB5A78"/>
    <w:rsid w:val="00CB6D7B"/>
    <w:rsid w:val="00CC00DD"/>
    <w:rsid w:val="00CC0EBB"/>
    <w:rsid w:val="00CC2074"/>
    <w:rsid w:val="00CC2DE4"/>
    <w:rsid w:val="00CC6A0C"/>
    <w:rsid w:val="00CD20A4"/>
    <w:rsid w:val="00CD3D22"/>
    <w:rsid w:val="00CD3DE9"/>
    <w:rsid w:val="00CD4735"/>
    <w:rsid w:val="00CD504E"/>
    <w:rsid w:val="00CD516B"/>
    <w:rsid w:val="00CD71B4"/>
    <w:rsid w:val="00CE148E"/>
    <w:rsid w:val="00CE2E6D"/>
    <w:rsid w:val="00CE3041"/>
    <w:rsid w:val="00CF1EA7"/>
    <w:rsid w:val="00CF2651"/>
    <w:rsid w:val="00CF2908"/>
    <w:rsid w:val="00CF291F"/>
    <w:rsid w:val="00CF32AC"/>
    <w:rsid w:val="00CF3DCC"/>
    <w:rsid w:val="00CF4A2E"/>
    <w:rsid w:val="00CF4DB0"/>
    <w:rsid w:val="00D01E37"/>
    <w:rsid w:val="00D1360E"/>
    <w:rsid w:val="00D13AF7"/>
    <w:rsid w:val="00D2175F"/>
    <w:rsid w:val="00D2230A"/>
    <w:rsid w:val="00D23C15"/>
    <w:rsid w:val="00D25649"/>
    <w:rsid w:val="00D30240"/>
    <w:rsid w:val="00D30DC6"/>
    <w:rsid w:val="00D30E1F"/>
    <w:rsid w:val="00D30E6A"/>
    <w:rsid w:val="00D3198E"/>
    <w:rsid w:val="00D31E68"/>
    <w:rsid w:val="00D3264F"/>
    <w:rsid w:val="00D32C5A"/>
    <w:rsid w:val="00D347CE"/>
    <w:rsid w:val="00D36282"/>
    <w:rsid w:val="00D364C4"/>
    <w:rsid w:val="00D36619"/>
    <w:rsid w:val="00D37055"/>
    <w:rsid w:val="00D37F74"/>
    <w:rsid w:val="00D41E48"/>
    <w:rsid w:val="00D42A4F"/>
    <w:rsid w:val="00D42D03"/>
    <w:rsid w:val="00D4339A"/>
    <w:rsid w:val="00D51986"/>
    <w:rsid w:val="00D529EF"/>
    <w:rsid w:val="00D5406F"/>
    <w:rsid w:val="00D547CB"/>
    <w:rsid w:val="00D54BDE"/>
    <w:rsid w:val="00D55C35"/>
    <w:rsid w:val="00D56779"/>
    <w:rsid w:val="00D57801"/>
    <w:rsid w:val="00D624BF"/>
    <w:rsid w:val="00D6485E"/>
    <w:rsid w:val="00D65496"/>
    <w:rsid w:val="00D65764"/>
    <w:rsid w:val="00D71EF0"/>
    <w:rsid w:val="00D726FF"/>
    <w:rsid w:val="00D72C32"/>
    <w:rsid w:val="00D72FE9"/>
    <w:rsid w:val="00D73B3D"/>
    <w:rsid w:val="00D75BC8"/>
    <w:rsid w:val="00D77E21"/>
    <w:rsid w:val="00D80074"/>
    <w:rsid w:val="00D8107B"/>
    <w:rsid w:val="00D81854"/>
    <w:rsid w:val="00D81BD5"/>
    <w:rsid w:val="00D834B3"/>
    <w:rsid w:val="00D846BA"/>
    <w:rsid w:val="00D86B42"/>
    <w:rsid w:val="00D92B60"/>
    <w:rsid w:val="00D95182"/>
    <w:rsid w:val="00D95615"/>
    <w:rsid w:val="00D962A7"/>
    <w:rsid w:val="00D964A8"/>
    <w:rsid w:val="00D96AB4"/>
    <w:rsid w:val="00D96D85"/>
    <w:rsid w:val="00D97519"/>
    <w:rsid w:val="00DA01CF"/>
    <w:rsid w:val="00DA0BD9"/>
    <w:rsid w:val="00DA10E4"/>
    <w:rsid w:val="00DA1D3E"/>
    <w:rsid w:val="00DA36B6"/>
    <w:rsid w:val="00DA3B98"/>
    <w:rsid w:val="00DA79B2"/>
    <w:rsid w:val="00DB1064"/>
    <w:rsid w:val="00DB1187"/>
    <w:rsid w:val="00DB144A"/>
    <w:rsid w:val="00DB1F4C"/>
    <w:rsid w:val="00DB2EF1"/>
    <w:rsid w:val="00DB6229"/>
    <w:rsid w:val="00DC05EA"/>
    <w:rsid w:val="00DC1C2A"/>
    <w:rsid w:val="00DC2BD6"/>
    <w:rsid w:val="00DC3378"/>
    <w:rsid w:val="00DC4C4E"/>
    <w:rsid w:val="00DC530E"/>
    <w:rsid w:val="00DC6A75"/>
    <w:rsid w:val="00DC6AA1"/>
    <w:rsid w:val="00DC72F2"/>
    <w:rsid w:val="00DC762C"/>
    <w:rsid w:val="00DD34F4"/>
    <w:rsid w:val="00DD411B"/>
    <w:rsid w:val="00DD46AE"/>
    <w:rsid w:val="00DD4F94"/>
    <w:rsid w:val="00DD67FF"/>
    <w:rsid w:val="00DD69B9"/>
    <w:rsid w:val="00DD7FD1"/>
    <w:rsid w:val="00DE0076"/>
    <w:rsid w:val="00DE08A4"/>
    <w:rsid w:val="00DE1F16"/>
    <w:rsid w:val="00DE2A78"/>
    <w:rsid w:val="00DE4A99"/>
    <w:rsid w:val="00DE6E50"/>
    <w:rsid w:val="00DE6F1D"/>
    <w:rsid w:val="00DE766E"/>
    <w:rsid w:val="00DE77A2"/>
    <w:rsid w:val="00DF1C01"/>
    <w:rsid w:val="00DF1DF6"/>
    <w:rsid w:val="00DF3EBD"/>
    <w:rsid w:val="00DF4809"/>
    <w:rsid w:val="00E01B05"/>
    <w:rsid w:val="00E044CE"/>
    <w:rsid w:val="00E04742"/>
    <w:rsid w:val="00E04D87"/>
    <w:rsid w:val="00E0542C"/>
    <w:rsid w:val="00E06B83"/>
    <w:rsid w:val="00E06CFA"/>
    <w:rsid w:val="00E06EEF"/>
    <w:rsid w:val="00E1088E"/>
    <w:rsid w:val="00E1490F"/>
    <w:rsid w:val="00E21546"/>
    <w:rsid w:val="00E23B56"/>
    <w:rsid w:val="00E23DF1"/>
    <w:rsid w:val="00E24C37"/>
    <w:rsid w:val="00E25C19"/>
    <w:rsid w:val="00E25CB4"/>
    <w:rsid w:val="00E25CC7"/>
    <w:rsid w:val="00E34C70"/>
    <w:rsid w:val="00E362BA"/>
    <w:rsid w:val="00E41081"/>
    <w:rsid w:val="00E4108C"/>
    <w:rsid w:val="00E42ED9"/>
    <w:rsid w:val="00E43E8A"/>
    <w:rsid w:val="00E44E83"/>
    <w:rsid w:val="00E462B4"/>
    <w:rsid w:val="00E50587"/>
    <w:rsid w:val="00E51A9D"/>
    <w:rsid w:val="00E5248D"/>
    <w:rsid w:val="00E54890"/>
    <w:rsid w:val="00E5498A"/>
    <w:rsid w:val="00E57DC4"/>
    <w:rsid w:val="00E605A7"/>
    <w:rsid w:val="00E632FF"/>
    <w:rsid w:val="00E64C51"/>
    <w:rsid w:val="00E70224"/>
    <w:rsid w:val="00E707D3"/>
    <w:rsid w:val="00E73352"/>
    <w:rsid w:val="00E75BDA"/>
    <w:rsid w:val="00E7640C"/>
    <w:rsid w:val="00E76AB1"/>
    <w:rsid w:val="00E77510"/>
    <w:rsid w:val="00E814EA"/>
    <w:rsid w:val="00E81D83"/>
    <w:rsid w:val="00E81EBC"/>
    <w:rsid w:val="00E872F0"/>
    <w:rsid w:val="00E87565"/>
    <w:rsid w:val="00E87DA9"/>
    <w:rsid w:val="00E90CC1"/>
    <w:rsid w:val="00E918EC"/>
    <w:rsid w:val="00E91C91"/>
    <w:rsid w:val="00E9373A"/>
    <w:rsid w:val="00E939A8"/>
    <w:rsid w:val="00E966E3"/>
    <w:rsid w:val="00E97B3D"/>
    <w:rsid w:val="00EA0E95"/>
    <w:rsid w:val="00EA1490"/>
    <w:rsid w:val="00EA1901"/>
    <w:rsid w:val="00EA2567"/>
    <w:rsid w:val="00EA3D7E"/>
    <w:rsid w:val="00EA6D56"/>
    <w:rsid w:val="00EA7295"/>
    <w:rsid w:val="00EA7682"/>
    <w:rsid w:val="00EB4836"/>
    <w:rsid w:val="00EC4BA0"/>
    <w:rsid w:val="00EC512B"/>
    <w:rsid w:val="00ED0FD4"/>
    <w:rsid w:val="00ED2EAB"/>
    <w:rsid w:val="00ED3B2E"/>
    <w:rsid w:val="00EE0B10"/>
    <w:rsid w:val="00EE0BBE"/>
    <w:rsid w:val="00EE3182"/>
    <w:rsid w:val="00EE3218"/>
    <w:rsid w:val="00EE5089"/>
    <w:rsid w:val="00EE7287"/>
    <w:rsid w:val="00EE7AF1"/>
    <w:rsid w:val="00EF0D35"/>
    <w:rsid w:val="00EF3C34"/>
    <w:rsid w:val="00EF443C"/>
    <w:rsid w:val="00EF7352"/>
    <w:rsid w:val="00F01F52"/>
    <w:rsid w:val="00F0261F"/>
    <w:rsid w:val="00F04477"/>
    <w:rsid w:val="00F1399A"/>
    <w:rsid w:val="00F22237"/>
    <w:rsid w:val="00F22267"/>
    <w:rsid w:val="00F24173"/>
    <w:rsid w:val="00F25749"/>
    <w:rsid w:val="00F267F0"/>
    <w:rsid w:val="00F32E3A"/>
    <w:rsid w:val="00F33706"/>
    <w:rsid w:val="00F34CF4"/>
    <w:rsid w:val="00F36D1B"/>
    <w:rsid w:val="00F37B6E"/>
    <w:rsid w:val="00F37C12"/>
    <w:rsid w:val="00F40107"/>
    <w:rsid w:val="00F407C1"/>
    <w:rsid w:val="00F4250D"/>
    <w:rsid w:val="00F44692"/>
    <w:rsid w:val="00F45DF8"/>
    <w:rsid w:val="00F461D8"/>
    <w:rsid w:val="00F501F2"/>
    <w:rsid w:val="00F50EB0"/>
    <w:rsid w:val="00F51F1B"/>
    <w:rsid w:val="00F54F3B"/>
    <w:rsid w:val="00F54F4C"/>
    <w:rsid w:val="00F56D24"/>
    <w:rsid w:val="00F608EC"/>
    <w:rsid w:val="00F610FB"/>
    <w:rsid w:val="00F61ABE"/>
    <w:rsid w:val="00F62127"/>
    <w:rsid w:val="00F622C2"/>
    <w:rsid w:val="00F631CC"/>
    <w:rsid w:val="00F63512"/>
    <w:rsid w:val="00F643C3"/>
    <w:rsid w:val="00F657C5"/>
    <w:rsid w:val="00F679DD"/>
    <w:rsid w:val="00F7161B"/>
    <w:rsid w:val="00F72151"/>
    <w:rsid w:val="00F727A9"/>
    <w:rsid w:val="00F73278"/>
    <w:rsid w:val="00F73C51"/>
    <w:rsid w:val="00F750AA"/>
    <w:rsid w:val="00F76025"/>
    <w:rsid w:val="00F761AD"/>
    <w:rsid w:val="00F76416"/>
    <w:rsid w:val="00F801BA"/>
    <w:rsid w:val="00F81B87"/>
    <w:rsid w:val="00F82691"/>
    <w:rsid w:val="00F831B1"/>
    <w:rsid w:val="00F84780"/>
    <w:rsid w:val="00F84F12"/>
    <w:rsid w:val="00F8582F"/>
    <w:rsid w:val="00F8694A"/>
    <w:rsid w:val="00F87255"/>
    <w:rsid w:val="00F909F3"/>
    <w:rsid w:val="00F90A1F"/>
    <w:rsid w:val="00F90B75"/>
    <w:rsid w:val="00F90E37"/>
    <w:rsid w:val="00F920F7"/>
    <w:rsid w:val="00F928F6"/>
    <w:rsid w:val="00F93865"/>
    <w:rsid w:val="00F94205"/>
    <w:rsid w:val="00F94770"/>
    <w:rsid w:val="00F94CC2"/>
    <w:rsid w:val="00FA0950"/>
    <w:rsid w:val="00FA101F"/>
    <w:rsid w:val="00FA283B"/>
    <w:rsid w:val="00FA3AFD"/>
    <w:rsid w:val="00FA51C4"/>
    <w:rsid w:val="00FA6358"/>
    <w:rsid w:val="00FA7113"/>
    <w:rsid w:val="00FA7F08"/>
    <w:rsid w:val="00FB077F"/>
    <w:rsid w:val="00FB53EA"/>
    <w:rsid w:val="00FB6036"/>
    <w:rsid w:val="00FB6513"/>
    <w:rsid w:val="00FB663F"/>
    <w:rsid w:val="00FB7F74"/>
    <w:rsid w:val="00FC044A"/>
    <w:rsid w:val="00FC1782"/>
    <w:rsid w:val="00FC24EA"/>
    <w:rsid w:val="00FC4948"/>
    <w:rsid w:val="00FC4F4E"/>
    <w:rsid w:val="00FC545D"/>
    <w:rsid w:val="00FD079A"/>
    <w:rsid w:val="00FD1090"/>
    <w:rsid w:val="00FD4135"/>
    <w:rsid w:val="00FD5427"/>
    <w:rsid w:val="00FD55BE"/>
    <w:rsid w:val="00FD792B"/>
    <w:rsid w:val="00FE382F"/>
    <w:rsid w:val="00FE4E34"/>
    <w:rsid w:val="00FE4E51"/>
    <w:rsid w:val="00FE5D4B"/>
    <w:rsid w:val="00FE6476"/>
    <w:rsid w:val="00FE7DFB"/>
    <w:rsid w:val="00FF4F18"/>
    <w:rsid w:val="00FF50F9"/>
    <w:rsid w:val="00FF6E5C"/>
    <w:rsid w:val="00FF7F90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0B4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B40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Body Text 2"/>
    <w:basedOn w:val="a"/>
    <w:link w:val="20"/>
    <w:rsid w:val="001E0B4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0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0B40"/>
    <w:rPr>
      <w:rFonts w:cs="Times New Roman"/>
      <w:color w:val="333300"/>
      <w:u w:val="single"/>
      <w:effect w:val="none"/>
    </w:rPr>
  </w:style>
  <w:style w:type="paragraph" w:styleId="a4">
    <w:name w:val="No Spacing"/>
    <w:uiPriority w:val="1"/>
    <w:qFormat/>
    <w:rsid w:val="001E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405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5D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0B4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B40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Body Text 2"/>
    <w:basedOn w:val="a"/>
    <w:link w:val="20"/>
    <w:rsid w:val="001E0B4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0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0B40"/>
    <w:rPr>
      <w:rFonts w:cs="Times New Roman"/>
      <w:color w:val="333300"/>
      <w:u w:val="single"/>
      <w:effect w:val="none"/>
    </w:rPr>
  </w:style>
  <w:style w:type="paragraph" w:styleId="a4">
    <w:name w:val="No Spacing"/>
    <w:uiPriority w:val="1"/>
    <w:qFormat/>
    <w:rsid w:val="001E0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405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5D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6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cp:lastModifiedBy>economy20 (Евлампьева В.И.)</cp:lastModifiedBy>
  <cp:revision>354</cp:revision>
  <cp:lastPrinted>2020-09-23T06:21:00Z</cp:lastPrinted>
  <dcterms:created xsi:type="dcterms:W3CDTF">2020-07-27T06:55:00Z</dcterms:created>
  <dcterms:modified xsi:type="dcterms:W3CDTF">2020-12-29T05:13:00Z</dcterms:modified>
</cp:coreProperties>
</file>