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E4" w:rsidRPr="00633FE4" w:rsidRDefault="00633FE4" w:rsidP="00633F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bookmarkStart w:id="0" w:name="_GoBack"/>
      <w:bookmarkEnd w:id="0"/>
      <w:r w:rsidRPr="00633FE4">
        <w:rPr>
          <w:rFonts w:ascii="Times New Roman" w:eastAsia="Times New Roman" w:hAnsi="Times New Roman"/>
          <w:szCs w:val="20"/>
          <w:lang w:eastAsia="ru-RU"/>
        </w:rPr>
        <w:t>Приложение №1</w:t>
      </w:r>
    </w:p>
    <w:p w:rsidR="00633FE4" w:rsidRPr="00633FE4" w:rsidRDefault="00633FE4" w:rsidP="00633F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633FE4">
        <w:rPr>
          <w:rFonts w:ascii="Times New Roman" w:eastAsia="Times New Roman" w:hAnsi="Times New Roman"/>
          <w:szCs w:val="20"/>
          <w:lang w:eastAsia="ru-RU"/>
        </w:rPr>
        <w:t>к письму Минсельхоза Чувашии</w:t>
      </w:r>
    </w:p>
    <w:p w:rsidR="00633FE4" w:rsidRPr="004E593F" w:rsidRDefault="00633FE4" w:rsidP="00633F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val="en-US" w:eastAsia="ru-RU"/>
        </w:rPr>
      </w:pPr>
      <w:r w:rsidRPr="00633FE4">
        <w:rPr>
          <w:rFonts w:ascii="Times New Roman" w:eastAsia="Times New Roman" w:hAnsi="Times New Roman"/>
          <w:szCs w:val="20"/>
          <w:lang w:eastAsia="ru-RU"/>
        </w:rPr>
        <w:t xml:space="preserve">от «   </w:t>
      </w:r>
      <w:r>
        <w:rPr>
          <w:rFonts w:ascii="Times New Roman" w:eastAsia="Times New Roman" w:hAnsi="Times New Roman"/>
          <w:szCs w:val="20"/>
          <w:lang w:eastAsia="ru-RU"/>
        </w:rPr>
        <w:t>» января 202</w:t>
      </w:r>
      <w:r w:rsidR="004E593F">
        <w:rPr>
          <w:rFonts w:ascii="Times New Roman" w:eastAsia="Times New Roman" w:hAnsi="Times New Roman"/>
          <w:szCs w:val="20"/>
          <w:lang w:val="en-US" w:eastAsia="ru-RU"/>
        </w:rPr>
        <w:t>1</w:t>
      </w:r>
      <w:r w:rsidRPr="00633FE4">
        <w:rPr>
          <w:rFonts w:ascii="Times New Roman" w:eastAsia="Times New Roman" w:hAnsi="Times New Roman"/>
          <w:szCs w:val="20"/>
          <w:lang w:eastAsia="ru-RU"/>
        </w:rPr>
        <w:t xml:space="preserve"> г. №</w:t>
      </w:r>
      <w:r w:rsidR="004E593F">
        <w:rPr>
          <w:rFonts w:ascii="Times New Roman" w:eastAsia="Times New Roman" w:hAnsi="Times New Roman"/>
          <w:szCs w:val="20"/>
          <w:lang w:val="en-US" w:eastAsia="ru-RU"/>
        </w:rPr>
        <w:t xml:space="preserve"> </w:t>
      </w:r>
      <w:r w:rsidRPr="00633FE4">
        <w:rPr>
          <w:rFonts w:ascii="Times New Roman" w:eastAsia="Times New Roman" w:hAnsi="Times New Roman"/>
          <w:szCs w:val="20"/>
          <w:lang w:eastAsia="ru-RU"/>
        </w:rPr>
        <w:t>0</w:t>
      </w:r>
      <w:r w:rsidR="004E593F">
        <w:rPr>
          <w:rFonts w:ascii="Times New Roman" w:eastAsia="Times New Roman" w:hAnsi="Times New Roman"/>
          <w:szCs w:val="20"/>
          <w:lang w:val="en-US" w:eastAsia="ru-RU"/>
        </w:rPr>
        <w:t>3</w:t>
      </w:r>
      <w:r w:rsidRPr="00633FE4">
        <w:rPr>
          <w:rFonts w:ascii="Times New Roman" w:eastAsia="Times New Roman" w:hAnsi="Times New Roman"/>
          <w:szCs w:val="20"/>
          <w:lang w:eastAsia="ru-RU"/>
        </w:rPr>
        <w:t>/</w:t>
      </w:r>
      <w:r w:rsidR="004E593F">
        <w:rPr>
          <w:rFonts w:ascii="Times New Roman" w:eastAsia="Times New Roman" w:hAnsi="Times New Roman"/>
          <w:szCs w:val="20"/>
          <w:lang w:val="en-US" w:eastAsia="ru-RU"/>
        </w:rPr>
        <w:t xml:space="preserve">14- </w:t>
      </w:r>
    </w:p>
    <w:p w:rsidR="00B9458E" w:rsidRPr="00540913" w:rsidRDefault="00B9458E" w:rsidP="00B9458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8E" w:rsidRPr="00540913" w:rsidRDefault="00B9458E" w:rsidP="00B9458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34"/>
      <w:bookmarkEnd w:id="1"/>
      <w:proofErr w:type="gramStart"/>
      <w:r w:rsidRPr="00540913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540913">
        <w:rPr>
          <w:rFonts w:ascii="Times New Roman" w:hAnsi="Times New Roman" w:cs="Times New Roman"/>
          <w:color w:val="000000"/>
          <w:sz w:val="26"/>
          <w:szCs w:val="26"/>
        </w:rPr>
        <w:t xml:space="preserve"> Л А Н</w:t>
      </w:r>
    </w:p>
    <w:p w:rsidR="00B9458E" w:rsidRDefault="00B9458E" w:rsidP="00B9458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 («дорожная карта») по содействию развитию конкуренции </w:t>
      </w:r>
      <w:r w:rsidRPr="0054091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агропромышленном и </w:t>
      </w:r>
      <w:proofErr w:type="spellStart"/>
      <w:r w:rsidRPr="00540913">
        <w:rPr>
          <w:rFonts w:ascii="Times New Roman" w:hAnsi="Times New Roman" w:cs="Times New Roman"/>
          <w:color w:val="000000"/>
          <w:sz w:val="26"/>
          <w:szCs w:val="26"/>
        </w:rPr>
        <w:t>рыбохозяйственном</w:t>
      </w:r>
      <w:proofErr w:type="spellEnd"/>
      <w:r w:rsidRPr="00540913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комплексе Чувашской Республики </w:t>
      </w:r>
    </w:p>
    <w:p w:rsidR="00633FE4" w:rsidRDefault="00633FE4" w:rsidP="00B9458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4884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6662"/>
      </w:tblGrid>
      <w:tr w:rsidR="00633FE4" w:rsidRPr="00633FE4" w:rsidTr="00AA7F05">
        <w:trPr>
          <w:trHeight w:val="699"/>
        </w:trPr>
        <w:tc>
          <w:tcPr>
            <w:tcW w:w="851" w:type="dxa"/>
            <w:tcBorders>
              <w:left w:val="nil"/>
            </w:tcBorders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lang w:eastAsia="ru-RU"/>
              </w:rPr>
              <w:t>Пункт распоряжения</w:t>
            </w:r>
          </w:p>
        </w:tc>
        <w:tc>
          <w:tcPr>
            <w:tcW w:w="3544" w:type="dxa"/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lang w:eastAsia="ru-RU"/>
              </w:rPr>
              <w:t>Результат мероприятия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szCs w:val="20"/>
                <w:lang w:eastAsia="ru-RU"/>
              </w:rPr>
              <w:t>Ход выполнения</w:t>
            </w:r>
          </w:p>
        </w:tc>
      </w:tr>
      <w:tr w:rsidR="00633FE4" w:rsidRPr="00633FE4" w:rsidTr="00AA7F05">
        <w:trPr>
          <w:trHeight w:val="146"/>
        </w:trPr>
        <w:tc>
          <w:tcPr>
            <w:tcW w:w="851" w:type="dxa"/>
            <w:tcBorders>
              <w:left w:val="nil"/>
            </w:tcBorders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3FE4" w:rsidRPr="00633FE4" w:rsidRDefault="00633FE4" w:rsidP="00633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3FE4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6B6FE3" w:rsidRPr="00633FE4" w:rsidTr="00F835FB">
        <w:trPr>
          <w:trHeight w:val="146"/>
        </w:trPr>
        <w:tc>
          <w:tcPr>
            <w:tcW w:w="14884" w:type="dxa"/>
            <w:gridSpan w:val="4"/>
            <w:tcBorders>
              <w:left w:val="nil"/>
              <w:right w:val="single" w:sz="4" w:space="0" w:color="auto"/>
            </w:tcBorders>
          </w:tcPr>
          <w:p w:rsidR="006B6FE3" w:rsidRPr="006B6FE3" w:rsidRDefault="006B6FE3" w:rsidP="006B6FE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B6FE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Рынок производства и переработки сельскохозяйственной продукции (в том числе молока)</w:t>
            </w:r>
          </w:p>
        </w:tc>
      </w:tr>
      <w:tr w:rsidR="00633FE4" w:rsidRPr="00633FE4" w:rsidTr="00AA7F05">
        <w:tc>
          <w:tcPr>
            <w:tcW w:w="851" w:type="dxa"/>
            <w:tcBorders>
              <w:left w:val="nil"/>
            </w:tcBorders>
          </w:tcPr>
          <w:p w:rsidR="00633FE4" w:rsidRPr="003F6F2D" w:rsidRDefault="00633FE4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633FE4" w:rsidRPr="003F6F2D" w:rsidRDefault="00633FE4" w:rsidP="00A27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Организация участия сельскохозяйственных т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 xml:space="preserve">оваропроизводителей в ярмарках 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выходного дня, выставках-продажах для реализации сельскохозяйственной продукции</w:t>
            </w:r>
          </w:p>
        </w:tc>
        <w:tc>
          <w:tcPr>
            <w:tcW w:w="3827" w:type="dxa"/>
            <w:shd w:val="clear" w:color="auto" w:fill="auto"/>
          </w:tcPr>
          <w:p w:rsidR="00633FE4" w:rsidRPr="003F6F2D" w:rsidRDefault="00633FE4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продвижение продукции сельскохозяйственных товаропроизводителей до потребителей и в торговые сети;</w:t>
            </w:r>
          </w:p>
          <w:p w:rsidR="00633FE4" w:rsidRPr="003F6F2D" w:rsidRDefault="00633FE4" w:rsidP="00A27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увеличение доли реализации сельскохозяйственной продукции, произведенной малыми формами хозяйствования в общем объеме реализации сельс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>кохозяйственной продукции к 2021 году: картофеля до 71,2%, овощей – 58,3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%, мяса – 2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>1,9%, молока – 64,3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712A6A" w:rsidRPr="00B409DF" w:rsidRDefault="00712A6A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2A6A">
              <w:rPr>
                <w:rFonts w:ascii="Times New Roman" w:eastAsia="Times New Roman" w:hAnsi="Times New Roman"/>
                <w:lang w:eastAsia="ru-RU"/>
              </w:rPr>
              <w:t xml:space="preserve">В целях создания условий для реализации, произведенной в республике плодоовощной продукции, в Чувашской Республике организуются </w:t>
            </w:r>
            <w:proofErr w:type="gramStart"/>
            <w:r w:rsidRPr="00712A6A">
              <w:rPr>
                <w:rFonts w:ascii="Times New Roman" w:eastAsia="Times New Roman" w:hAnsi="Times New Roman"/>
                <w:lang w:eastAsia="ru-RU"/>
              </w:rPr>
              <w:t>ярмарки</w:t>
            </w:r>
            <w:proofErr w:type="gramEnd"/>
            <w:r w:rsidRPr="00712A6A">
              <w:rPr>
                <w:rFonts w:ascii="Times New Roman" w:eastAsia="Times New Roman" w:hAnsi="Times New Roman"/>
                <w:lang w:eastAsia="ru-RU"/>
              </w:rPr>
              <w:t xml:space="preserve"> на которых оборудовано более 5,0 тыс. торговых мест, </w:t>
            </w:r>
            <w:proofErr w:type="spellStart"/>
            <w:r w:rsidRPr="00712A6A">
              <w:rPr>
                <w:rFonts w:ascii="Times New Roman" w:eastAsia="Times New Roman" w:hAnsi="Times New Roman"/>
                <w:lang w:eastAsia="ru-RU"/>
              </w:rPr>
              <w:t>сельхозтоваропроизводителям</w:t>
            </w:r>
            <w:proofErr w:type="spellEnd"/>
            <w:r w:rsidRPr="00712A6A">
              <w:rPr>
                <w:rFonts w:ascii="Times New Roman" w:eastAsia="Times New Roman" w:hAnsi="Times New Roman"/>
                <w:lang w:eastAsia="ru-RU"/>
              </w:rPr>
              <w:t xml:space="preserve"> торговые места предоставляются на льготных условиях и бесплатно.</w:t>
            </w:r>
          </w:p>
          <w:p w:rsidR="00F22048" w:rsidRPr="004E593F" w:rsidRDefault="00F22048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Органами местного самоуправления ежегодно утверждается перечень ярмарок, планируемых к организации в очередном календарном году. </w:t>
            </w:r>
          </w:p>
          <w:p w:rsidR="00F22048" w:rsidRPr="004E593F" w:rsidRDefault="00F22048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Перечень ярмарок на 2020 год утвержден 23 администрациями муниципальных районов и городских округов Чувашской Республики. Количество мест проведения ярмарок – 104. Ярмарки «выходного дня» проводятся еженедельно во всех районных центрах и городах республики. </w:t>
            </w:r>
          </w:p>
          <w:p w:rsidR="00F22048" w:rsidRPr="004E593F" w:rsidRDefault="00F22048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>В период проведения ярмарок на специальных торговых площадках предоставляется возможность реализации сельскохозяйственной продукции через специальное торговое оборудование, а также с автотранспорта. Места для торговли предоставляются бесплатно.</w:t>
            </w:r>
          </w:p>
          <w:p w:rsidR="00897852" w:rsidRPr="004E593F" w:rsidRDefault="00897852" w:rsidP="00BE159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57" w:firstLine="36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С 2</w:t>
            </w:r>
            <w:r w:rsidR="00F22048"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февраля по </w:t>
            </w:r>
            <w:r w:rsidR="00F22048"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22048"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февраля 2020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в г. Чебоксары прошла XI</w:t>
            </w:r>
            <w:r w:rsidR="00F22048" w:rsidRPr="004E593F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Межрегиональная отраслевая выставка «Картофель – 20</w:t>
            </w:r>
            <w:r w:rsidR="00F22048"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</w:t>
            </w:r>
            <w:r w:rsidR="006E5CE4"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которой приняли участие местные </w:t>
            </w:r>
            <w:proofErr w:type="spellStart"/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сельхозтоваропроизводители</w:t>
            </w:r>
            <w:proofErr w:type="spellEnd"/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предприятия-поставщики сельхозтехники, </w:t>
            </w:r>
            <w:proofErr w:type="spellStart"/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селекционно</w:t>
            </w:r>
            <w:proofErr w:type="spellEnd"/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E59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семеноводческие компании, поставщики средств защиты растений, удобрений, стимуляторов роста, ГСМ, ведущие отечественные и зарубежные научно-исследовательские институты.</w:t>
            </w:r>
          </w:p>
          <w:p w:rsidR="000343B7" w:rsidRPr="004E593F" w:rsidRDefault="000343B7" w:rsidP="00BE1593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F22048" w:rsidRPr="004E593F">
              <w:rPr>
                <w:rFonts w:ascii="Times New Roman" w:eastAsia="Times New Roman" w:hAnsi="Times New Roman"/>
                <w:lang w:eastAsia="ru-RU"/>
              </w:rPr>
              <w:t>рамках выставки «Картофель – 2020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» осуществлялась торговля семенным картофелем гражданам республики. В торговле приняли участие 6 организаций республики.  На выставке реализовано </w:t>
            </w:r>
            <w:r w:rsidR="00F22048" w:rsidRPr="004E593F">
              <w:rPr>
                <w:rFonts w:ascii="Times New Roman" w:eastAsia="Times New Roman" w:hAnsi="Times New Roman"/>
                <w:lang w:eastAsia="ru-RU"/>
              </w:rPr>
              <w:t>20,5 тонн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семенного картофеля. Администраци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ей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г. Чебоксары организована бесплатная доставка приобретенного картофеля льготной категории граж</w:t>
            </w:r>
            <w:r w:rsidR="00F22048" w:rsidRPr="004E593F">
              <w:rPr>
                <w:rFonts w:ascii="Times New Roman" w:eastAsia="Times New Roman" w:hAnsi="Times New Roman"/>
                <w:lang w:eastAsia="ru-RU"/>
              </w:rPr>
              <w:t>дан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409DF" w:rsidRPr="004E593F" w:rsidRDefault="00B409DF" w:rsidP="00BE1593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В целях реализации произведенной сельскохозяйственной продукции местными товаропроизводителями и расширения рынка сбыта министерством совместно с администрациями городов республики ежегодно проводятся сезонные ярмарки «Весна» и «Дары осени». </w:t>
            </w:r>
            <w:r w:rsidR="00F22048" w:rsidRPr="004E593F">
              <w:rPr>
                <w:rFonts w:ascii="Times New Roman" w:eastAsia="Times New Roman" w:hAnsi="Times New Roman"/>
                <w:lang w:eastAsia="ru-RU"/>
              </w:rPr>
              <w:t xml:space="preserve">В 2020 году из-за сложной эпидемиологической ситуации, вызванной новой </w:t>
            </w:r>
            <w:proofErr w:type="spellStart"/>
            <w:r w:rsidR="00F22048" w:rsidRPr="004E593F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="00F22048" w:rsidRPr="004E593F">
              <w:rPr>
                <w:rFonts w:ascii="Times New Roman" w:eastAsia="Times New Roman" w:hAnsi="Times New Roman"/>
                <w:lang w:eastAsia="ru-RU"/>
              </w:rPr>
              <w:t xml:space="preserve"> инфекцией, сельскохозяйственн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ые</w:t>
            </w:r>
            <w:r w:rsidR="00F22048" w:rsidRPr="004E593F">
              <w:rPr>
                <w:rFonts w:ascii="Times New Roman" w:eastAsia="Times New Roman" w:hAnsi="Times New Roman"/>
                <w:lang w:eastAsia="ru-RU"/>
              </w:rPr>
              <w:t xml:space="preserve"> ярмарки 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 xml:space="preserve">не проводились. </w:t>
            </w:r>
          </w:p>
          <w:p w:rsidR="000C3604" w:rsidRPr="004E593F" w:rsidRDefault="00897852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В целях продвижения продукции местных товаропроизводителей и ознакомления с новыми видами производимой продукции 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23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октября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20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г. в рамках проведения Дня работника сельского хозяйства и перерабатывающей промышленности в Ледовом дворце «Чебокс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ары – Арена» была организована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выставка продукции местных товаропроизводит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елей. Свои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экспозици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>и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представили АО «АККОНД», </w:t>
            </w:r>
            <w:proofErr w:type="spellStart"/>
            <w:r w:rsidR="000C3604" w:rsidRPr="004E593F">
              <w:rPr>
                <w:rFonts w:ascii="Times New Roman" w:eastAsia="Times New Roman" w:hAnsi="Times New Roman"/>
                <w:lang w:eastAsia="ru-RU"/>
              </w:rPr>
              <w:t>Чувашпотребсоюз</w:t>
            </w:r>
            <w:proofErr w:type="spellEnd"/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, ООО «Чебоксарский хлебозавод №1», ООО «Чебоксарский мясокомбинат», ОАО «Агентство по пчеловодству», </w:t>
            </w:r>
            <w:proofErr w:type="gramStart"/>
            <w:r w:rsidR="000C3604" w:rsidRPr="004E593F">
              <w:rPr>
                <w:rFonts w:ascii="Times New Roman" w:eastAsia="Times New Roman" w:hAnsi="Times New Roman"/>
                <w:lang w:eastAsia="ru-RU"/>
              </w:rPr>
              <w:t>К(</w:t>
            </w:r>
            <w:proofErr w:type="gramEnd"/>
            <w:r w:rsidR="000C3604" w:rsidRPr="004E593F">
              <w:rPr>
                <w:rFonts w:ascii="Times New Roman" w:eastAsia="Times New Roman" w:hAnsi="Times New Roman"/>
                <w:lang w:eastAsia="ru-RU"/>
              </w:rPr>
              <w:t>Ф)Х Кошелевой О.И., ООО «Моргаушская птицефабрика», К(Ф)Х Семенова В.Н., ООО «Чебоксарский городской молочный завод», ООО «Агрофирма «</w:t>
            </w:r>
            <w:proofErr w:type="spellStart"/>
            <w:r w:rsidR="000C3604" w:rsidRPr="004E593F">
              <w:rPr>
                <w:rFonts w:ascii="Times New Roman" w:eastAsia="Times New Roman" w:hAnsi="Times New Roman"/>
                <w:lang w:eastAsia="ru-RU"/>
              </w:rPr>
              <w:t>Атлашевская</w:t>
            </w:r>
            <w:proofErr w:type="spellEnd"/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», К(Ф)Х </w:t>
            </w:r>
            <w:proofErr w:type="spellStart"/>
            <w:r w:rsidR="000C3604" w:rsidRPr="004E593F">
              <w:rPr>
                <w:rFonts w:ascii="Times New Roman" w:eastAsia="Times New Roman" w:hAnsi="Times New Roman"/>
                <w:lang w:eastAsia="ru-RU"/>
              </w:rPr>
              <w:t>Санзяпова</w:t>
            </w:r>
            <w:proofErr w:type="spellEnd"/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Р.Ш., ОАО «Ядринмолоко»,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 xml:space="preserve"> ООО «Продовольственный фонд Чувашской Республики»,</w:t>
            </w:r>
            <w:r w:rsidR="000C3604" w:rsidRPr="004E593F">
              <w:rPr>
                <w:rFonts w:ascii="Times New Roman" w:eastAsia="Times New Roman" w:hAnsi="Times New Roman"/>
                <w:lang w:eastAsia="ru-RU"/>
              </w:rPr>
              <w:t xml:space="preserve"> ООО «Вурнарский мяс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>окомбинат», ООО «ЧМКФ «Вавилон». Выставка проведена с соблюдением противоэпидемических мер.</w:t>
            </w:r>
          </w:p>
          <w:p w:rsidR="00897852" w:rsidRPr="004E593F" w:rsidRDefault="00897852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>Ежемесячно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 xml:space="preserve"> до марта 2020 года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в кафе «Встреча» ГУП «Комбинат питания» Администрации Главы Чувашской Республики 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>проводились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выставки-продажи продукции предприятий пищевой и перерабатывающей промышленности Чувашской Республики, в которой принимали участие ООО «Чебоксарский мясокомбинат», ОАО «Чебоксарский хлебозавод № 2», ООО «Океан», ОАО «</w:t>
            </w:r>
            <w:proofErr w:type="spellStart"/>
            <w:r w:rsidRPr="004E593F">
              <w:rPr>
                <w:rFonts w:ascii="Times New Roman" w:eastAsia="Times New Roman" w:hAnsi="Times New Roman"/>
                <w:lang w:eastAsia="ru-RU"/>
              </w:rPr>
              <w:t>Ядринмолоко</w:t>
            </w:r>
            <w:proofErr w:type="spellEnd"/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  <w:proofErr w:type="gramStart"/>
            <w:r w:rsidRPr="004E593F">
              <w:rPr>
                <w:rFonts w:ascii="Times New Roman" w:eastAsia="Times New Roman" w:hAnsi="Times New Roman"/>
                <w:lang w:eastAsia="ru-RU"/>
              </w:rPr>
              <w:t>К(</w:t>
            </w:r>
            <w:proofErr w:type="gramEnd"/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Ф)Х </w:t>
            </w:r>
            <w:proofErr w:type="spellStart"/>
            <w:r w:rsidRPr="004E593F">
              <w:rPr>
                <w:rFonts w:ascii="Times New Roman" w:eastAsia="Times New Roman" w:hAnsi="Times New Roman"/>
                <w:lang w:eastAsia="ru-RU"/>
              </w:rPr>
              <w:t>Санзяпова</w:t>
            </w:r>
            <w:proofErr w:type="spellEnd"/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Р.Ш.;</w:t>
            </w:r>
            <w:r w:rsidR="006E5CE4" w:rsidRPr="004E59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ЗАО Агрофирма 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lastRenderedPageBreak/>
              <w:t>«Ольдеевская»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>, ООО «Вурнарский мясокомбинат». С марта месяца</w:t>
            </w:r>
            <w:r w:rsidR="00922EA7" w:rsidRPr="004E593F">
              <w:t xml:space="preserve"> 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 xml:space="preserve">в связи с ограничительными мерами противодействия распространению </w:t>
            </w:r>
            <w:proofErr w:type="spellStart"/>
            <w:r w:rsidR="00922EA7" w:rsidRPr="004E593F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="00922EA7" w:rsidRPr="004E593F">
              <w:rPr>
                <w:rFonts w:ascii="Times New Roman" w:eastAsia="Times New Roman" w:hAnsi="Times New Roman"/>
                <w:lang w:eastAsia="ru-RU"/>
              </w:rPr>
              <w:t xml:space="preserve"> инфекции </w:t>
            </w:r>
            <w:r w:rsidR="00D82FB6" w:rsidRPr="004E593F">
              <w:rPr>
                <w:rFonts w:ascii="Times New Roman" w:eastAsia="Times New Roman" w:hAnsi="Times New Roman"/>
                <w:lang w:eastAsia="ru-RU"/>
              </w:rPr>
              <w:t xml:space="preserve">выставки не проводились. </w:t>
            </w:r>
            <w:r w:rsidR="00922EA7" w:rsidRPr="004E593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897852" w:rsidRPr="004E593F" w:rsidRDefault="00897852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gramStart"/>
            <w:r w:rsidRPr="004E593F">
              <w:rPr>
                <w:rFonts w:ascii="Times New Roman" w:eastAsia="Times New Roman" w:hAnsi="Times New Roman"/>
                <w:lang w:eastAsia="ru-RU"/>
              </w:rPr>
              <w:t>рамках</w:t>
            </w:r>
            <w:proofErr w:type="gramEnd"/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реализации Соглашения о сотрудничестве между Министерством сельского хозяйства Чувашской Республики и Ассоциацией региональных </w:t>
            </w:r>
            <w:proofErr w:type="spellStart"/>
            <w:r w:rsidRPr="004E593F">
              <w:rPr>
                <w:rFonts w:ascii="Times New Roman" w:eastAsia="Times New Roman" w:hAnsi="Times New Roman"/>
                <w:lang w:eastAsia="ru-RU"/>
              </w:rPr>
              <w:t>сельхозтоваропроизводителей</w:t>
            </w:r>
            <w:proofErr w:type="spellEnd"/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от 04.10.2017  № 01-26/2 в 20</w:t>
            </w:r>
            <w:r w:rsidR="00D82FB6" w:rsidRPr="004E593F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году чувашские </w:t>
            </w:r>
            <w:proofErr w:type="spellStart"/>
            <w:r w:rsidRPr="004E593F">
              <w:rPr>
                <w:rFonts w:ascii="Times New Roman" w:eastAsia="Times New Roman" w:hAnsi="Times New Roman"/>
                <w:lang w:eastAsia="ru-RU"/>
              </w:rPr>
              <w:t>сельхозтоваропроизводители</w:t>
            </w:r>
            <w:proofErr w:type="spellEnd"/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приняли участие </w:t>
            </w:r>
            <w:r w:rsidR="00D82FB6" w:rsidRPr="004E593F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82FB6" w:rsidRPr="004E593F">
              <w:rPr>
                <w:rFonts w:ascii="Times New Roman" w:eastAsia="Times New Roman" w:hAnsi="Times New Roman"/>
                <w:lang w:eastAsia="ru-RU"/>
              </w:rPr>
              <w:t>3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 xml:space="preserve"> региональных ярмар</w:t>
            </w:r>
            <w:r w:rsidR="00D82FB6" w:rsidRPr="004E593F">
              <w:rPr>
                <w:rFonts w:ascii="Times New Roman" w:eastAsia="Times New Roman" w:hAnsi="Times New Roman"/>
                <w:lang w:eastAsia="ru-RU"/>
              </w:rPr>
              <w:t>ках</w:t>
            </w:r>
            <w:r w:rsidRPr="004E593F">
              <w:rPr>
                <w:rFonts w:ascii="Times New Roman" w:eastAsia="Times New Roman" w:hAnsi="Times New Roman"/>
                <w:lang w:eastAsia="ru-RU"/>
              </w:rPr>
              <w:t>, организованных в г. Москве и в Московской области.</w:t>
            </w:r>
          </w:p>
          <w:p w:rsidR="00633FE4" w:rsidRPr="00633FE4" w:rsidRDefault="00897852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  <w:r w:rsidRPr="004E593F">
              <w:rPr>
                <w:rFonts w:ascii="Times New Roman" w:eastAsia="Times New Roman" w:hAnsi="Times New Roman"/>
                <w:lang w:eastAsia="ru-RU"/>
              </w:rPr>
              <w:t>Места для торговли предоставлялись бесплатно.</w:t>
            </w:r>
          </w:p>
        </w:tc>
      </w:tr>
      <w:tr w:rsidR="00633FE4" w:rsidRPr="00633FE4" w:rsidTr="00AA7F05">
        <w:trPr>
          <w:trHeight w:val="2647"/>
        </w:trPr>
        <w:tc>
          <w:tcPr>
            <w:tcW w:w="851" w:type="dxa"/>
            <w:tcBorders>
              <w:left w:val="nil"/>
            </w:tcBorders>
          </w:tcPr>
          <w:p w:rsidR="00633FE4" w:rsidRPr="00D41341" w:rsidRDefault="00633FE4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1341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3544" w:type="dxa"/>
          </w:tcPr>
          <w:p w:rsidR="00633FE4" w:rsidRPr="00D41341" w:rsidRDefault="00633FE4" w:rsidP="00A27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1341">
              <w:rPr>
                <w:rFonts w:ascii="Times New Roman" w:hAnsi="Times New Roman" w:cs="Times New Roman"/>
                <w:szCs w:val="22"/>
              </w:rPr>
              <w:t xml:space="preserve">Оказание мер государственной поддержки сельскохозяйственным товаропроизводителям (организациям, индивидуальным предпринимателям, крестьянским (фермерским) хозяйствам), осуществляющим глубокую переработку </w:t>
            </w:r>
            <w:r w:rsidR="00A2799F" w:rsidRPr="00D41341">
              <w:rPr>
                <w:rFonts w:ascii="Times New Roman" w:hAnsi="Times New Roman" w:cs="Times New Roman"/>
                <w:szCs w:val="22"/>
              </w:rPr>
              <w:t>сельскохозяйственной продукции</w:t>
            </w:r>
          </w:p>
        </w:tc>
        <w:tc>
          <w:tcPr>
            <w:tcW w:w="3827" w:type="dxa"/>
          </w:tcPr>
          <w:p w:rsidR="00633FE4" w:rsidRPr="00D41341" w:rsidRDefault="00633FE4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1341">
              <w:rPr>
                <w:rFonts w:ascii="Times New Roman" w:hAnsi="Times New Roman" w:cs="Times New Roman"/>
                <w:szCs w:val="22"/>
              </w:rP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</w:tcPr>
          <w:p w:rsidR="00D41341" w:rsidRPr="00D41341" w:rsidRDefault="00D41341" w:rsidP="00D413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1341">
              <w:rPr>
                <w:rFonts w:ascii="Times New Roman" w:eastAsia="Times New Roman" w:hAnsi="Times New Roman"/>
                <w:lang w:eastAsia="ru-RU"/>
              </w:rPr>
              <w:t>В 2020 году организациям, осуществляющим переработку сельхозпродукции оказана государственная поддержка в виде возмещения части затрат на уплату процентов по кредитам, полученным на строительство и реконструкцию и модернизацию объектов по переработке сельхозпродукции на сумму 0,2 млн. рублей из республиканского бюджета Чувашской Республики.</w:t>
            </w:r>
          </w:p>
          <w:p w:rsidR="00AA7F05" w:rsidRPr="00D41341" w:rsidRDefault="00D41341" w:rsidP="00D41341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1341">
              <w:rPr>
                <w:rFonts w:ascii="Times New Roman" w:eastAsia="Times New Roman" w:hAnsi="Times New Roman"/>
                <w:lang w:eastAsia="ru-RU"/>
              </w:rPr>
              <w:t xml:space="preserve">Кроме того выдано льготных кредитов на сумму 589 млн. рублей, в </w:t>
            </w:r>
            <w:proofErr w:type="spellStart"/>
            <w:r w:rsidRPr="00D4134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D41341">
              <w:rPr>
                <w:rFonts w:ascii="Times New Roman" w:eastAsia="Times New Roman" w:hAnsi="Times New Roman"/>
                <w:lang w:eastAsia="ru-RU"/>
              </w:rPr>
              <w:t>. краткосрочные кредиты на закупку сельскохозяйственной продукции для дальнейшей переработки на сумму 464 млн. рублей, инвестиционные кредиты на строительство предприятий мукомольно-крупяной, хлебопекарной промышленности и приобретение оборудования для них на сумму 125 млн. рублей.</w:t>
            </w:r>
          </w:p>
        </w:tc>
      </w:tr>
      <w:tr w:rsidR="00633FE4" w:rsidRPr="00633FE4" w:rsidTr="00AA7F05">
        <w:tc>
          <w:tcPr>
            <w:tcW w:w="851" w:type="dxa"/>
            <w:tcBorders>
              <w:left w:val="nil"/>
            </w:tcBorders>
          </w:tcPr>
          <w:p w:rsidR="00633FE4" w:rsidRPr="003F6F2D" w:rsidRDefault="00633FE4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633FE4" w:rsidRPr="003F6F2D" w:rsidRDefault="00633FE4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Поиск инвесторов и их привлечение к реализации инвестиционных проектов по производству пищевых продуктов на территории Чувашской Республики</w:t>
            </w:r>
          </w:p>
        </w:tc>
        <w:tc>
          <w:tcPr>
            <w:tcW w:w="3827" w:type="dxa"/>
            <w:shd w:val="clear" w:color="auto" w:fill="auto"/>
          </w:tcPr>
          <w:p w:rsidR="00633FE4" w:rsidRPr="003F6F2D" w:rsidRDefault="00633FE4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создание новых производств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D" w:rsidRPr="0088349D" w:rsidRDefault="0088349D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В Минсельхозе Чувашии ежегодно формируется реестр реализуемых и планируемых к реализации организациями агропромышленного комплекса инвестиционных проектов.</w:t>
            </w:r>
          </w:p>
          <w:p w:rsidR="0088349D" w:rsidRPr="0088349D" w:rsidRDefault="0088349D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агропромышленном комплексе 2020 году реализовано 336 инвестиционных проектов по модернизации производства на сумму более 7,6 млрд. рублей, с созданием 508 новых рабочих мест. </w:t>
            </w:r>
          </w:p>
          <w:p w:rsidR="00D82FB6" w:rsidRPr="0088349D" w:rsidRDefault="00D86FA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том числе в пищевой и перерабатывающей промышленности </w:t>
            </w:r>
            <w:r w:rsidR="00D82FB6"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2020 год реализовано 13 инвестиционных проектов по модернизации производства на сумму более 760 млн. рублей, с созданием 67 новых рабочих мест. Наиболее крупные из них:  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- АО «</w:t>
            </w:r>
            <w:proofErr w:type="spellStart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Чувашхлебопродукт</w:t>
            </w:r>
            <w:proofErr w:type="spellEnd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» запущена линия </w:t>
            </w:r>
            <w:proofErr w:type="spellStart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односортного</w:t>
            </w:r>
            <w:proofErr w:type="spellEnd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помола в рамках технического перевооружения существующих производственных мощностей мощностью 60 тонн в сутки </w:t>
            </w: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стоимостью 23,7 млн. рублей;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- АО «Чебоксарский хлебозавод №2» запущена линия производства слоеных изделий мощностью 5 тонн в сутки и стоимостью проекта 25 млн. рублей;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 АО «Волга АЙС» простроен склад готовой продукции вместимостью 500 тонн готовой продукции стоимостью 200 млн. рублей; 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- АО «АККОНД» запущена линия оригинального сахарного печенью мощностью производства 3 тыс. тонн в год стоимостью 149 млн. рублей;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 ООО «Чебоксарский городской молочный завод» запущена в эксплуатацию вторая технологическая линия по производству и розливу </w:t>
            </w:r>
            <w:proofErr w:type="spellStart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ультрапастеризованных</w:t>
            </w:r>
            <w:proofErr w:type="spellEnd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пастеризованных молочных продуктов мощностью 6 тыс. упаковок в час стоимостью 69 млн. рублей;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- ООО «</w:t>
            </w:r>
            <w:proofErr w:type="spellStart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Новочурашевский</w:t>
            </w:r>
            <w:proofErr w:type="spellEnd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молочный завод» запущен цех по производству твердых сыров общей стоимостью 220 млн. рублей; </w:t>
            </w:r>
          </w:p>
          <w:p w:rsidR="00D82FB6" w:rsidRPr="0088349D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- ООО «Агрохолдинг «ЮРМА» установлена камера шоковой заморозки мощностью 36 тонн в сутки стоимостью 25 млн. рублей;</w:t>
            </w:r>
          </w:p>
          <w:p w:rsidR="00633FE4" w:rsidRPr="00D82FB6" w:rsidRDefault="00D82FB6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 </w:t>
            </w:r>
            <w:proofErr w:type="spellStart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>Алатырским</w:t>
            </w:r>
            <w:proofErr w:type="spellEnd"/>
            <w:r w:rsidRPr="0088349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комбикормовым заводом ОП ООО «Агрохолдинг «ЮРМА» установлена линия по шелушению зерна мощностью 5 тонн в час стоимостью 2,2 млн. рублей.</w:t>
            </w:r>
          </w:p>
        </w:tc>
      </w:tr>
      <w:tr w:rsidR="00633FE4" w:rsidRPr="00633FE4" w:rsidTr="00AA7F05">
        <w:tc>
          <w:tcPr>
            <w:tcW w:w="851" w:type="dxa"/>
            <w:tcBorders>
              <w:left w:val="nil"/>
            </w:tcBorders>
          </w:tcPr>
          <w:p w:rsidR="00633FE4" w:rsidRPr="003F6F2D" w:rsidRDefault="00633FE4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1.4.</w:t>
            </w:r>
          </w:p>
        </w:tc>
        <w:tc>
          <w:tcPr>
            <w:tcW w:w="3544" w:type="dxa"/>
          </w:tcPr>
          <w:p w:rsidR="009B3628" w:rsidRPr="003F6F2D" w:rsidRDefault="00633FE4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Развитие семейных животноводческих ферм на базе крестьянских (фермерских) хозяйств и оказание государственной поддержки начинающим фермерам</w:t>
            </w:r>
          </w:p>
        </w:tc>
        <w:tc>
          <w:tcPr>
            <w:tcW w:w="3827" w:type="dxa"/>
          </w:tcPr>
          <w:p w:rsidR="00633FE4" w:rsidRPr="003F6F2D" w:rsidRDefault="00633FE4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3FE4" w:rsidRPr="00A53A61" w:rsidRDefault="00D41341" w:rsidP="00BE1593">
            <w:pPr>
              <w:widowControl w:val="0"/>
              <w:suppressAutoHyphens/>
              <w:autoSpaceDN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данным </w:t>
            </w:r>
            <w:proofErr w:type="spellStart"/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Чувашстата</w:t>
            </w:r>
            <w:proofErr w:type="spellEnd"/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>а 01.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01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>.20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 в личных подсобных хозяйствах и крестьянских (фермерских) хозяйствах 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поголовье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крупного рогатого скота 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составило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128,9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тысяч голов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или 100,8% к аналогичному периоду 2019 года, 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том числе коров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61 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тысяч голов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или 100,4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к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аналогичному периоду </w:t>
            </w:r>
            <w:r w:rsidR="00606201" w:rsidRPr="00A53A61">
              <w:rPr>
                <w:rFonts w:ascii="Times New Roman" w:eastAsia="Times New Roman" w:hAnsi="Times New Roman"/>
                <w:szCs w:val="20"/>
                <w:lang w:eastAsia="ru-RU"/>
              </w:rPr>
              <w:t>201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9 году, производство</w:t>
            </w:r>
            <w:r w:rsidR="00B409DF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молока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составило 279,4</w:t>
            </w:r>
            <w:r w:rsidR="00B409DF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тысяч тонн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или 100,6% к 2019</w:t>
            </w:r>
            <w:r w:rsidR="00B409DF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году, скота и птицы в живом весе –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30,7 </w:t>
            </w:r>
            <w:r w:rsidR="00B409DF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тысяч тонн 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или 99,2</w:t>
            </w:r>
            <w:r w:rsidR="00B409DF" w:rsidRPr="00A53A61">
              <w:rPr>
                <w:rFonts w:ascii="Times New Roman" w:eastAsia="Times New Roman" w:hAnsi="Times New Roman"/>
                <w:szCs w:val="20"/>
                <w:lang w:eastAsia="ru-RU"/>
              </w:rPr>
              <w:t>% к 201</w:t>
            </w:r>
            <w:r w:rsidRPr="00A53A61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  <w:r w:rsidR="00B409DF" w:rsidRPr="00A53A6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году.</w:t>
            </w:r>
          </w:p>
          <w:p w:rsidR="00606201" w:rsidRPr="006C3EEB" w:rsidRDefault="00606201" w:rsidP="003E7B48">
            <w:pPr>
              <w:widowControl w:val="0"/>
              <w:suppressAutoHyphens/>
              <w:autoSpaceDN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За 20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</w:t>
            </w:r>
            <w:proofErr w:type="spell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грантовая</w:t>
            </w:r>
            <w:proofErr w:type="spell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поддержка выдана на развитие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начинающим фермерам в сумме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71,9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млн. руб.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11 семейным фермерам в сумме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104,5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млн. руб.</w:t>
            </w:r>
          </w:p>
        </w:tc>
      </w:tr>
      <w:tr w:rsidR="00D97A21" w:rsidRPr="00633FE4" w:rsidTr="00AA7F05">
        <w:tc>
          <w:tcPr>
            <w:tcW w:w="851" w:type="dxa"/>
            <w:tcBorders>
              <w:left w:val="nil"/>
            </w:tcBorders>
          </w:tcPr>
          <w:p w:rsidR="00D97A21" w:rsidRPr="003F6F2D" w:rsidRDefault="00D97A21" w:rsidP="002C3B2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1.5.</w:t>
            </w:r>
          </w:p>
        </w:tc>
        <w:tc>
          <w:tcPr>
            <w:tcW w:w="3544" w:type="dxa"/>
            <w:shd w:val="clear" w:color="auto" w:fill="auto"/>
          </w:tcPr>
          <w:p w:rsidR="00D97A21" w:rsidRPr="003F6F2D" w:rsidRDefault="00D97A21" w:rsidP="002C3B2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Оказание мер государственной поддержки в соответствии с законодательством Российской Федерации и законодательством Чувашской Республики сельскохозяйственным (снабженческо-сбытовым и перерабатывающим) потребительским кооперативам</w:t>
            </w:r>
          </w:p>
        </w:tc>
        <w:tc>
          <w:tcPr>
            <w:tcW w:w="3827" w:type="dxa"/>
            <w:shd w:val="clear" w:color="auto" w:fill="auto"/>
          </w:tcPr>
          <w:p w:rsidR="00D97A21" w:rsidRPr="003F6F2D" w:rsidRDefault="00D97A21" w:rsidP="002C3B2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совершенствование системы закупки и сбыта сельскохозяйственной продукции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800984" w:rsidRPr="003E7B48" w:rsidRDefault="00800984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В 20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году государственную поддержку получили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48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глав </w:t>
            </w:r>
            <w:proofErr w:type="gram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К(</w:t>
            </w:r>
            <w:proofErr w:type="gram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Ф)Х и </w:t>
            </w:r>
            <w:proofErr w:type="spell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СПоК</w:t>
            </w:r>
            <w:proofErr w:type="spell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в </w:t>
            </w:r>
            <w:proofErr w:type="spell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т.ч</w:t>
            </w:r>
            <w:proofErr w:type="spell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.:</w:t>
            </w:r>
          </w:p>
          <w:p w:rsidR="00800984" w:rsidRPr="003E7B48" w:rsidRDefault="00800984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гранты на поддержку начинающего фермера  -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глав </w:t>
            </w:r>
            <w:proofErr w:type="gram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К(</w:t>
            </w:r>
            <w:proofErr w:type="gram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Ф)Х;</w:t>
            </w:r>
          </w:p>
          <w:p w:rsidR="00800984" w:rsidRPr="003E7B48" w:rsidRDefault="00800984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гранты на реализацию проекта создания и развития крестьянского (фермерского) хозяйства (</w:t>
            </w:r>
            <w:proofErr w:type="spell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Агростартап</w:t>
            </w:r>
            <w:proofErr w:type="spell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) -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глав </w:t>
            </w:r>
            <w:proofErr w:type="gram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К(</w:t>
            </w:r>
            <w:proofErr w:type="gram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Ф)Х;</w:t>
            </w:r>
          </w:p>
          <w:p w:rsidR="00800984" w:rsidRPr="003E7B48" w:rsidRDefault="00800984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гранты на развитие семейных животноводческих ферм  - 11 глав </w:t>
            </w:r>
            <w:proofErr w:type="gramStart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К(</w:t>
            </w:r>
            <w:proofErr w:type="gramEnd"/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>Ф)Х;</w:t>
            </w:r>
          </w:p>
          <w:p w:rsidR="00800984" w:rsidRPr="003E7B48" w:rsidRDefault="00800984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гранты на развитие материально-технической базы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3E7B48" w:rsidRPr="003E7B48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Pr="003E7B4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сельскохозяйственных потребительских кооператива.</w:t>
            </w:r>
          </w:p>
          <w:p w:rsidR="00D97A21" w:rsidRPr="006C3EEB" w:rsidRDefault="00D97A21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</w:p>
        </w:tc>
      </w:tr>
      <w:tr w:rsidR="003F6F2D" w:rsidRPr="00633FE4" w:rsidTr="00AA7F05">
        <w:tc>
          <w:tcPr>
            <w:tcW w:w="851" w:type="dxa"/>
            <w:tcBorders>
              <w:left w:val="nil"/>
            </w:tcBorders>
          </w:tcPr>
          <w:p w:rsidR="003F6F2D" w:rsidRPr="009B3628" w:rsidRDefault="003F6F2D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B3628">
              <w:rPr>
                <w:rFonts w:ascii="Times New Roman" w:hAnsi="Times New Roman" w:cs="Times New Roman"/>
                <w:color w:val="000000"/>
                <w:szCs w:val="22"/>
              </w:rPr>
              <w:t>1.6.</w:t>
            </w:r>
          </w:p>
        </w:tc>
        <w:tc>
          <w:tcPr>
            <w:tcW w:w="3544" w:type="dxa"/>
            <w:shd w:val="clear" w:color="auto" w:fill="auto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Проведение мониторинга административных барьеров и оценки состояния конкурентной среды на рынке производства и переработки сельскохозяйственной продукции (в том числе молока)</w:t>
            </w:r>
          </w:p>
        </w:tc>
        <w:tc>
          <w:tcPr>
            <w:tcW w:w="3827" w:type="dxa"/>
            <w:shd w:val="clear" w:color="auto" w:fill="auto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получение данных </w:t>
            </w:r>
            <w:proofErr w:type="gramStart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для</w:t>
            </w:r>
            <w:proofErr w:type="gramEnd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проведения анализа деятельности 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 xml:space="preserve">организаций агропромышленного комплекса 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и планирования мероприятий по содействию развитию конкуренции;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подготовки доклада;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подготовка предложений по решению проблемы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E56CEB" w:rsidRPr="006C3EEB" w:rsidRDefault="00E56CEB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Производство, закупки, переработка и реализация сельскохозяйственной продукции на территории республики осуществляются в жесткой конкурентной среде.</w:t>
            </w:r>
          </w:p>
          <w:p w:rsidR="00E56CEB" w:rsidRPr="006C3EEB" w:rsidRDefault="00E56CEB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82FB6"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В Чувашской Республике в 2020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году </w:t>
            </w:r>
            <w:r w:rsidR="00D82FB6" w:rsidRPr="006C3EEB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предприятий осуществляющих глубокую переработку молока и более 200 субъектов осуществляющих сбор сырого молока от населения. Производство молока осуществляют  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225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сельскохозяйственных организаций. </w:t>
            </w:r>
          </w:p>
          <w:p w:rsidR="00E56CEB" w:rsidRPr="006C3EEB" w:rsidRDefault="00E56CEB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Минсельхозом Чувашии в еженедельном </w:t>
            </w:r>
            <w:proofErr w:type="gramStart"/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режиме</w:t>
            </w:r>
            <w:proofErr w:type="gramEnd"/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проводится мониторинг закупочных цен от населения в разрезе администраций районов республики и ценовая информация размещается на сайте Минсельхоза Чувашии в разделе 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«А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налитика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адресу: </w:t>
            </w:r>
            <w:hyperlink r:id="rId7" w:history="1">
              <w:r w:rsidRPr="006C3EEB">
                <w:rPr>
                  <w:rStyle w:val="a4"/>
                  <w:rFonts w:ascii="Times New Roman" w:eastAsia="Times New Roman" w:hAnsi="Times New Roman"/>
                  <w:szCs w:val="20"/>
                  <w:lang w:eastAsia="ru-RU"/>
                </w:rPr>
                <w:t>http://agro.cap.ru/analitika/cenovaya-informaciya/zakupochnie-ceni-na-moloko-ot-naseleniya</w:t>
              </w:r>
            </w:hyperlink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</w:p>
          <w:p w:rsidR="00E56CEB" w:rsidRPr="006C3EEB" w:rsidRDefault="00E56CEB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По информации администраций районов по состоянию на 2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.12.20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средняя закупочная цена на сырое молоко от населения в республике составляет 20,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руб. за 1 литр, что выше уровня аналогичного периода 201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9 г. на 4,0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% (0,</w:t>
            </w:r>
            <w:r w:rsidR="004C7C81" w:rsidRPr="006C3EEB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руб.). </w:t>
            </w:r>
          </w:p>
          <w:p w:rsidR="00E56CEB" w:rsidRDefault="00E56CEB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По данным КУП Чувашской Республики «Агро-Инновации» средняя базовая закупочная цена молока охлажденного 1 сорта молокоперерабатывающих предприятий республики на 2</w:t>
            </w:r>
            <w:r w:rsidR="003F0738" w:rsidRPr="006C3EEB">
              <w:rPr>
                <w:rFonts w:ascii="Times New Roman" w:eastAsia="Times New Roman" w:hAnsi="Times New Roman"/>
                <w:szCs w:val="20"/>
                <w:lang w:eastAsia="ru-RU"/>
              </w:rPr>
              <w:t>4.12.2019 составляет 24,12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руб. за 1 кг  или </w:t>
            </w:r>
            <w:r w:rsidR="003F0738" w:rsidRPr="006C3EEB">
              <w:rPr>
                <w:rFonts w:ascii="Times New Roman" w:eastAsia="Times New Roman" w:hAnsi="Times New Roman"/>
                <w:szCs w:val="20"/>
                <w:lang w:eastAsia="ru-RU"/>
              </w:rPr>
              <w:t>98,8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% к уровню аналогичного периода прошлого года.</w:t>
            </w:r>
          </w:p>
          <w:p w:rsidR="003F6F2D" w:rsidRPr="00633FE4" w:rsidRDefault="003F6F2D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6B6FE3" w:rsidRPr="00633FE4" w:rsidTr="00543B85">
        <w:tc>
          <w:tcPr>
            <w:tcW w:w="14884" w:type="dxa"/>
            <w:gridSpan w:val="4"/>
            <w:tcBorders>
              <w:left w:val="nil"/>
              <w:right w:val="single" w:sz="4" w:space="0" w:color="auto"/>
            </w:tcBorders>
          </w:tcPr>
          <w:p w:rsidR="006B6FE3" w:rsidRPr="009B3628" w:rsidRDefault="006B6FE3" w:rsidP="00BE159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firstLine="36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B3628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</w:tr>
      <w:tr w:rsidR="003F6F2D" w:rsidRPr="00633FE4" w:rsidTr="00AA7F05"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2.1.</w:t>
            </w:r>
          </w:p>
        </w:tc>
        <w:tc>
          <w:tcPr>
            <w:tcW w:w="3544" w:type="dxa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Проведение мониторинга административных барьеров и оценки состояния конкурентной среды и оказания помощи организациям агропромышленного комплекса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получение данных </w:t>
            </w:r>
            <w:proofErr w:type="gramStart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для</w:t>
            </w:r>
            <w:proofErr w:type="gramEnd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: 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проведения анализа деятельности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 xml:space="preserve"> организаций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 и планирования мероприятий по содействию развитию конкуренции;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подготовки доклада;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подготовка предложений по решению проблемы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3C0562" w:rsidRPr="003C0562" w:rsidRDefault="003C0562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>В соответствии с пунктом 2 статьи 5 Федерального закона «О ветеринарии» от 14.05.1993 № 4979-1 система Государственной ветери</w:t>
            </w:r>
            <w:r w:rsidR="001458C8">
              <w:rPr>
                <w:rFonts w:ascii="Times New Roman" w:eastAsia="Times New Roman" w:hAnsi="Times New Roman"/>
                <w:szCs w:val="20"/>
                <w:lang w:eastAsia="ru-RU"/>
              </w:rPr>
              <w:t>нарной службы Российской Федера</w:t>
            </w:r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>ции включает в себя в субъектах Российской Федерации – уполномоченные в области ветеринарии органы исполнительной власти субъектов Российской Федерации и подведомственные им учреждения (в Чувашской Республике это Служба и 25 подведомственных ей учреждений).</w:t>
            </w:r>
          </w:p>
          <w:p w:rsidR="003C0562" w:rsidRPr="003C0562" w:rsidRDefault="003C0562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>В соответствии с постановлением Кабинета Министров Чувашской Республики от 11.02.2005 № 30 «Вопросы Государственной ветерин</w:t>
            </w:r>
            <w:r w:rsidR="001458C8">
              <w:rPr>
                <w:rFonts w:ascii="Times New Roman" w:eastAsia="Times New Roman" w:hAnsi="Times New Roman"/>
                <w:szCs w:val="20"/>
                <w:lang w:eastAsia="ru-RU"/>
              </w:rPr>
              <w:t>арной службы Чувашской Республи</w:t>
            </w:r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>ки» в перечень организаций, находящихся в ведении Службы входят 24 станции по борьбе с болезнями животных, 1 центр финансового обеспечени</w:t>
            </w:r>
            <w:r w:rsidR="001458C8">
              <w:rPr>
                <w:rFonts w:ascii="Times New Roman" w:eastAsia="Times New Roman" w:hAnsi="Times New Roman"/>
                <w:szCs w:val="20"/>
                <w:lang w:eastAsia="ru-RU"/>
              </w:rPr>
              <w:t>я и 1 лаборатория (БУ ЧР «Чуваш</w:t>
            </w:r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ская республиканская ветлаборатория» </w:t>
            </w:r>
            <w:proofErr w:type="spellStart"/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>Госветслужбы</w:t>
            </w:r>
            <w:proofErr w:type="spellEnd"/>
            <w:r w:rsidRPr="003C056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Чувашии).</w:t>
            </w:r>
          </w:p>
          <w:p w:rsidR="006C3EEB" w:rsidRPr="006C3EEB" w:rsidRDefault="006C3EEB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августе 2020 года приступил к работе и приему образцов на исследования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ф</w:t>
            </w: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илиал ФГБУ «Центральная научно-методическая ветеринарная лаборатория» </w:t>
            </w:r>
            <w:proofErr w:type="spellStart"/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Россельхознадзор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proofErr w:type="spellEnd"/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России в Чебоксарах.</w:t>
            </w:r>
          </w:p>
          <w:p w:rsidR="006C3EEB" w:rsidRPr="006C3EEB" w:rsidRDefault="006C3EEB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Учреждение осуществляют диагностику болезней животных, птиц, рыб и пчёл, проводит лабораторные исследования пищевой продукции и сырья животного и растительного происхождения, почвы, грунта и воды, карантина и защиты растений, семеноводства, качества и безопасности зерна, крупы, комбикормов и их компонентов.</w:t>
            </w:r>
          </w:p>
          <w:p w:rsidR="006C3EEB" w:rsidRPr="006C3EEB" w:rsidRDefault="006C3EEB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Помимо проведения лабораторных исследований на лабораторию возложены задачи по проведению специальной оценки условий труда и производственному контролю, сертификации и декларированию продукции и услуг, разработке и внедрению системы управления качеством и безопасностью пищевых продуктов на основе принципов ХАССП.</w:t>
            </w:r>
          </w:p>
          <w:p w:rsidR="006C3EEB" w:rsidRPr="006C3EEB" w:rsidRDefault="006C3EEB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Кроме этого лаборатория занимается разработкой проектов рекультивации нарушенных земель, выдачей заключений о качественном состоянии почвы, разработкой паспортов плодородия, а также организацией дополнительного профессионального образования в области ветеринарии и лабораторной диагностики.</w:t>
            </w:r>
          </w:p>
          <w:p w:rsidR="006C3EEB" w:rsidRPr="006C3EEB" w:rsidRDefault="006C3EEB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настоящее время филиал находится по адресу: г. Чебоксары, ул. Крупской, д. 9, </w:t>
            </w:r>
            <w:proofErr w:type="spellStart"/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>каб</w:t>
            </w:r>
            <w:proofErr w:type="spellEnd"/>
            <w:r w:rsidRPr="006C3EE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№ 3.</w:t>
            </w:r>
          </w:p>
          <w:p w:rsidR="003F6F2D" w:rsidRPr="00633FE4" w:rsidRDefault="003F6F2D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F6F2D" w:rsidRPr="00633FE4" w:rsidTr="00AA7F05"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2.2.</w:t>
            </w:r>
          </w:p>
        </w:tc>
        <w:tc>
          <w:tcPr>
            <w:tcW w:w="3544" w:type="dxa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Проведение совещаний, размещение информации о рынке лабораторных исследований на официальном сайте </w:t>
            </w:r>
            <w:proofErr w:type="spellStart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Госветслужбы</w:t>
            </w:r>
            <w:proofErr w:type="spellEnd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 Чувашии на Портале органов власти Чувашской Республики в и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>нформационно-телекоммуникаци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softHyphen/>
              <w:t>он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ной сети «Интернет»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повышение информированности населения и </w:t>
            </w:r>
            <w:proofErr w:type="spellStart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сельхозтоваропроизводителей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3F6F2D" w:rsidRPr="00633FE4" w:rsidRDefault="008C40E6" w:rsidP="00BE159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E1593">
              <w:rPr>
                <w:rFonts w:ascii="Times New Roman" w:eastAsia="Times New Roman" w:hAnsi="Times New Roman"/>
                <w:szCs w:val="20"/>
                <w:lang w:eastAsia="ru-RU"/>
              </w:rPr>
              <w:t>На заседани</w:t>
            </w:r>
            <w:r w:rsidR="00BE1593" w:rsidRPr="00BE15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 Коллегии </w:t>
            </w:r>
            <w:proofErr w:type="spellStart"/>
            <w:r w:rsidR="00BE1593" w:rsidRPr="00BE1593">
              <w:rPr>
                <w:rFonts w:ascii="Times New Roman" w:eastAsia="Times New Roman" w:hAnsi="Times New Roman"/>
                <w:szCs w:val="20"/>
                <w:lang w:eastAsia="ru-RU"/>
              </w:rPr>
              <w:t>Госветслужбы</w:t>
            </w:r>
            <w:proofErr w:type="spellEnd"/>
            <w:r w:rsidR="00BE1593" w:rsidRPr="00BE15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Чувашии, который состоялся 17 декабря 2020 г. рассмотрены итоги деятельности ветеринарной службы Чувашской Республики, в том числе </w:t>
            </w:r>
            <w:r w:rsidR="002C3098" w:rsidRPr="00BE15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озвучена информация о деятельности БУ ЧР «Чувашская республиканская ветлаборатория» </w:t>
            </w:r>
            <w:proofErr w:type="spellStart"/>
            <w:r w:rsidR="002C3098" w:rsidRPr="00BE1593">
              <w:rPr>
                <w:rFonts w:ascii="Times New Roman" w:eastAsia="Times New Roman" w:hAnsi="Times New Roman"/>
                <w:szCs w:val="20"/>
                <w:lang w:eastAsia="ru-RU"/>
              </w:rPr>
              <w:t>Госветслужбы</w:t>
            </w:r>
            <w:proofErr w:type="spellEnd"/>
            <w:r w:rsidR="002C3098" w:rsidRPr="00BE15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Чувашии, оказываемых учреждением лабораторных услуг и о наличии на территории Чувашской Республики дополнительно шести других аккредитованных испытательных лабораториях, информация о которых имеется в реестре аккредитованных лиц Национальной системы аккредитации.</w:t>
            </w:r>
            <w:proofErr w:type="gramEnd"/>
          </w:p>
        </w:tc>
      </w:tr>
      <w:tr w:rsidR="006B6FE3" w:rsidRPr="00633FE4" w:rsidTr="004E20E3">
        <w:tc>
          <w:tcPr>
            <w:tcW w:w="14884" w:type="dxa"/>
            <w:gridSpan w:val="4"/>
            <w:tcBorders>
              <w:left w:val="nil"/>
              <w:right w:val="single" w:sz="4" w:space="0" w:color="auto"/>
            </w:tcBorders>
          </w:tcPr>
          <w:p w:rsidR="006B6FE3" w:rsidRPr="006B6FE3" w:rsidRDefault="006B6FE3" w:rsidP="00BE159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2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B6FE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Рынок племенного животноводства</w:t>
            </w:r>
          </w:p>
        </w:tc>
      </w:tr>
      <w:tr w:rsidR="003F6F2D" w:rsidRPr="00633FE4" w:rsidTr="00AA7F05"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275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3.1.</w:t>
            </w:r>
          </w:p>
        </w:tc>
        <w:tc>
          <w:tcPr>
            <w:tcW w:w="3544" w:type="dxa"/>
          </w:tcPr>
          <w:p w:rsidR="003F6F2D" w:rsidRPr="003F6F2D" w:rsidRDefault="003F6F2D" w:rsidP="00A27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Оказание </w:t>
            </w:r>
            <w:r w:rsidR="00A2799F"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сельскохозяйственным товаропроизводителям 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мер государственной поддержки в соответствии с законодательством Российской Федерации и законодательством Чувашской Республики </w:t>
            </w:r>
          </w:p>
        </w:tc>
        <w:tc>
          <w:tcPr>
            <w:tcW w:w="3827" w:type="dxa"/>
          </w:tcPr>
          <w:p w:rsidR="003F6F2D" w:rsidRPr="003F6F2D" w:rsidRDefault="003F6F2D" w:rsidP="0027525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увеличение удельного веса племенных животных в общем поголовье сельскохозяйственных животных;</w:t>
            </w:r>
          </w:p>
          <w:p w:rsidR="003F6F2D" w:rsidRPr="003F6F2D" w:rsidRDefault="003F6F2D" w:rsidP="00A279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увеличение доли организаций частной собственности на рынке племенного животноводства к 202</w:t>
            </w:r>
            <w:r w:rsidR="00A2799F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 году до 99,1%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606201" w:rsidRPr="00606201" w:rsidRDefault="00606201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6201">
              <w:rPr>
                <w:rFonts w:ascii="Times New Roman" w:eastAsia="Times New Roman" w:hAnsi="Times New Roman"/>
                <w:lang w:eastAsia="ru-RU"/>
              </w:rPr>
              <w:t>За 20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20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год КФХ и СХО приобретено </w:t>
            </w:r>
            <w:r w:rsidR="00BE1593" w:rsidRPr="00BE1593">
              <w:rPr>
                <w:rFonts w:ascii="Times New Roman" w:eastAsia="Times New Roman" w:hAnsi="Times New Roman"/>
                <w:lang w:eastAsia="ru-RU"/>
              </w:rPr>
              <w:t>671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гол</w:t>
            </w:r>
            <w:proofErr w:type="gramStart"/>
            <w:r w:rsidRPr="00606201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BE1593" w:rsidRPr="0060620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="00BE1593" w:rsidRPr="00606201">
              <w:rPr>
                <w:rFonts w:ascii="Times New Roman" w:eastAsia="Times New Roman" w:hAnsi="Times New Roman"/>
                <w:lang w:eastAsia="ru-RU"/>
              </w:rPr>
              <w:t>леменны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х</w:t>
            </w:r>
            <w:r w:rsidR="00BE1593" w:rsidRPr="00606201">
              <w:rPr>
                <w:rFonts w:ascii="Times New Roman" w:eastAsia="Times New Roman" w:hAnsi="Times New Roman"/>
                <w:lang w:eastAsia="ru-RU"/>
              </w:rPr>
              <w:t xml:space="preserve"> нетел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 xml:space="preserve">ей, </w:t>
            </w:r>
            <w:r w:rsidR="00BE1593" w:rsidRPr="00606201">
              <w:rPr>
                <w:rFonts w:ascii="Times New Roman" w:eastAsia="Times New Roman" w:hAnsi="Times New Roman"/>
                <w:lang w:eastAsia="ru-RU"/>
              </w:rPr>
              <w:t xml:space="preserve">в том числе 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172</w:t>
            </w:r>
            <w:r w:rsidR="00BE1593" w:rsidRPr="00606201">
              <w:rPr>
                <w:rFonts w:ascii="Times New Roman" w:eastAsia="Times New Roman" w:hAnsi="Times New Roman"/>
                <w:lang w:eastAsia="ru-RU"/>
              </w:rPr>
              <w:t xml:space="preserve"> гол.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E1593" w:rsidRPr="00606201">
              <w:rPr>
                <w:rFonts w:ascii="Times New Roman" w:eastAsia="Times New Roman" w:hAnsi="Times New Roman"/>
                <w:lang w:eastAsia="ru-RU"/>
              </w:rPr>
              <w:t xml:space="preserve">из </w:t>
            </w:r>
            <w:proofErr w:type="spellStart"/>
            <w:r w:rsidR="00BE1593" w:rsidRPr="00606201">
              <w:rPr>
                <w:rFonts w:ascii="Times New Roman" w:eastAsia="Times New Roman" w:hAnsi="Times New Roman"/>
                <w:lang w:eastAsia="ru-RU"/>
              </w:rPr>
              <w:t>племхозяйств</w:t>
            </w:r>
            <w:proofErr w:type="spellEnd"/>
            <w:r w:rsidR="00BE1593" w:rsidRPr="00606201">
              <w:rPr>
                <w:rFonts w:ascii="Times New Roman" w:eastAsia="Times New Roman" w:hAnsi="Times New Roman"/>
                <w:lang w:eastAsia="ru-RU"/>
              </w:rPr>
              <w:t xml:space="preserve"> ЧР, 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5 гол.</w:t>
            </w:r>
            <w:r w:rsidR="00BE1593" w:rsidRPr="006062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племенного молодняка КРС,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поставлено из других регионов 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574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гол.</w:t>
            </w:r>
          </w:p>
          <w:p w:rsidR="00606201" w:rsidRPr="00606201" w:rsidRDefault="00606201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Закуплено племенных животных других видов: 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>1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 xml:space="preserve"> гол</w:t>
            </w:r>
            <w:proofErr w:type="gramStart"/>
            <w:r w:rsidR="00F0119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6C3E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BE159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="00BE1593">
              <w:rPr>
                <w:rFonts w:ascii="Times New Roman" w:eastAsia="Times New Roman" w:hAnsi="Times New Roman"/>
                <w:lang w:eastAsia="ru-RU"/>
              </w:rPr>
              <w:t>леменной бык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>-производител</w:t>
            </w:r>
            <w:r w:rsidR="00BE1593">
              <w:rPr>
                <w:rFonts w:ascii="Times New Roman" w:eastAsia="Times New Roman" w:hAnsi="Times New Roman"/>
                <w:lang w:eastAsia="ru-RU"/>
              </w:rPr>
              <w:t xml:space="preserve">ь, 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 xml:space="preserve">20 гол. </w:t>
            </w:r>
            <w:proofErr w:type="spellStart"/>
            <w:r w:rsidR="00F01195">
              <w:rPr>
                <w:rFonts w:ascii="Times New Roman" w:eastAsia="Times New Roman" w:hAnsi="Times New Roman"/>
                <w:lang w:eastAsia="ru-RU"/>
              </w:rPr>
              <w:t>племмолодняк</w:t>
            </w:r>
            <w:proofErr w:type="spellEnd"/>
            <w:r w:rsidR="00F01195">
              <w:rPr>
                <w:rFonts w:ascii="Times New Roman" w:eastAsia="Times New Roman" w:hAnsi="Times New Roman"/>
                <w:lang w:eastAsia="ru-RU"/>
              </w:rPr>
              <w:t xml:space="preserve"> свиней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06201" w:rsidRPr="00606201" w:rsidRDefault="00BE1593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593">
              <w:rPr>
                <w:rFonts w:ascii="Times New Roman" w:eastAsia="Times New Roman" w:hAnsi="Times New Roman"/>
                <w:lang w:eastAsia="ru-RU"/>
              </w:rPr>
              <w:t>За отчетный период реализовано 695 головы племенного молодняка крупного рогатого скота молочного направления продуктивности, 1 голова племенного молодняка крупного рогатого скота мясного направления продуктивности, 52 голов молодняка коз.</w:t>
            </w:r>
          </w:p>
          <w:p w:rsidR="003F6F2D" w:rsidRDefault="00606201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Государственная поддержка на приобретение племенного молодняка сельскохозяйственных животных составила 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>36,7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млн. руб., в том числе из ФБ 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>36,3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млн. руб., из РБ 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>0,4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млн. руб</w:t>
            </w:r>
            <w:proofErr w:type="gramStart"/>
            <w:r w:rsidR="00F01195"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  <w:p w:rsidR="00F01195" w:rsidRPr="00F01195" w:rsidRDefault="00F01195" w:rsidP="00F0119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195">
              <w:rPr>
                <w:rFonts w:ascii="Times New Roman" w:eastAsia="Times New Roman" w:hAnsi="Times New Roman"/>
                <w:lang w:eastAsia="ru-RU"/>
              </w:rPr>
              <w:t xml:space="preserve">За отчетный год произошло наращивание маточного поголовья в племенных организациях на 1103 голов за счет собственного воспроизводства стада и приобретения племенного молодняка из других регионов. </w:t>
            </w:r>
          </w:p>
          <w:p w:rsidR="00F01195" w:rsidRPr="00F01195" w:rsidRDefault="00F01195" w:rsidP="00F0119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195">
              <w:rPr>
                <w:rFonts w:ascii="Times New Roman" w:eastAsia="Times New Roman" w:hAnsi="Times New Roman"/>
                <w:lang w:eastAsia="ru-RU"/>
              </w:rPr>
              <w:t>За 2020 год поголовье коров в сельскохозяйственных организациях выросло до 25,4 тыс. голов (101,9% к уровню 2019 года), в том числе поголовье племенных коров - до 11,06 тыс. голов (107,5% к уровню 2019 года). При этом удельный вес племенного маточного стада в сельскохозяйственных организациях доведен до 43,5%, что на 2,3% больше уровня 2019 года.</w:t>
            </w:r>
          </w:p>
          <w:p w:rsidR="00606201" w:rsidRPr="00606201" w:rsidRDefault="003E74EA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состоянию на 01.01</w:t>
            </w:r>
            <w:r w:rsidR="00606201" w:rsidRPr="00606201">
              <w:rPr>
                <w:rFonts w:ascii="Times New Roman" w:eastAsia="Times New Roman" w:hAnsi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>1</w:t>
            </w:r>
            <w:r w:rsidR="00606201" w:rsidRPr="00606201">
              <w:rPr>
                <w:rFonts w:ascii="Times New Roman" w:eastAsia="Times New Roman" w:hAnsi="Times New Roman"/>
                <w:lang w:eastAsia="ru-RU"/>
              </w:rPr>
              <w:t xml:space="preserve"> племенную базу молочно</w:t>
            </w:r>
            <w:r>
              <w:rPr>
                <w:rFonts w:ascii="Times New Roman" w:eastAsia="Times New Roman" w:hAnsi="Times New Roman"/>
                <w:lang w:eastAsia="ru-RU"/>
              </w:rPr>
              <w:t>го скотоводства представляют 1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>9</w:t>
            </w:r>
            <w:r w:rsidR="00606201" w:rsidRPr="0060620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="00606201" w:rsidRPr="00606201">
              <w:rPr>
                <w:rFonts w:ascii="Times New Roman" w:eastAsia="Times New Roman" w:hAnsi="Times New Roman"/>
                <w:lang w:eastAsia="ru-RU"/>
              </w:rPr>
              <w:t>племхозяйств</w:t>
            </w:r>
            <w:proofErr w:type="spellEnd"/>
            <w:r w:rsidR="00606201" w:rsidRPr="00606201">
              <w:rPr>
                <w:rFonts w:ascii="Times New Roman" w:eastAsia="Times New Roman" w:hAnsi="Times New Roman"/>
                <w:lang w:eastAsia="ru-RU"/>
              </w:rPr>
              <w:t xml:space="preserve"> (4 </w:t>
            </w:r>
            <w:proofErr w:type="spellStart"/>
            <w:r w:rsidR="00606201" w:rsidRPr="00606201">
              <w:rPr>
                <w:rFonts w:ascii="Times New Roman" w:eastAsia="Times New Roman" w:hAnsi="Times New Roman"/>
                <w:lang w:eastAsia="ru-RU"/>
              </w:rPr>
              <w:t>племзавода</w:t>
            </w:r>
            <w:proofErr w:type="spellEnd"/>
            <w:r w:rsidR="00606201" w:rsidRPr="00606201">
              <w:rPr>
                <w:rFonts w:ascii="Times New Roman" w:eastAsia="Times New Roman" w:hAnsi="Times New Roman"/>
                <w:lang w:eastAsia="ru-RU"/>
              </w:rPr>
              <w:t xml:space="preserve"> и 1</w:t>
            </w:r>
            <w:r w:rsidR="00F01195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proofErr w:type="spellStart"/>
            <w:r w:rsidR="00F01195">
              <w:rPr>
                <w:rFonts w:ascii="Times New Roman" w:eastAsia="Times New Roman" w:hAnsi="Times New Roman"/>
                <w:lang w:eastAsia="ru-RU"/>
              </w:rPr>
              <w:t>племрепродукторов</w:t>
            </w:r>
            <w:proofErr w:type="spellEnd"/>
            <w:r w:rsidR="00F01195">
              <w:rPr>
                <w:rFonts w:ascii="Times New Roman" w:eastAsia="Times New Roman" w:hAnsi="Times New Roman"/>
                <w:lang w:eastAsia="ru-RU"/>
              </w:rPr>
              <w:t>)</w:t>
            </w:r>
            <w:r w:rsidR="00606201" w:rsidRPr="0060620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606201" w:rsidRPr="00633FE4" w:rsidRDefault="00606201" w:rsidP="00BE1593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</w:tr>
      <w:tr w:rsidR="006B6FE3" w:rsidRPr="00633FE4" w:rsidTr="00E97787">
        <w:tc>
          <w:tcPr>
            <w:tcW w:w="14884" w:type="dxa"/>
            <w:gridSpan w:val="4"/>
            <w:tcBorders>
              <w:left w:val="nil"/>
              <w:right w:val="single" w:sz="4" w:space="0" w:color="auto"/>
            </w:tcBorders>
          </w:tcPr>
          <w:p w:rsidR="006B6FE3" w:rsidRPr="006B6FE3" w:rsidRDefault="006B6FE3" w:rsidP="00BE1593">
            <w:pPr>
              <w:pStyle w:val="a3"/>
              <w:numPr>
                <w:ilvl w:val="0"/>
                <w:numId w:val="1"/>
              </w:numPr>
              <w:spacing w:after="0"/>
              <w:ind w:firstLine="36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B6FE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Рынок семеноводства</w:t>
            </w:r>
          </w:p>
        </w:tc>
      </w:tr>
      <w:tr w:rsidR="003F6F2D" w:rsidRPr="00633FE4" w:rsidTr="00AA7F05">
        <w:trPr>
          <w:trHeight w:val="4729"/>
        </w:trPr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9B3628">
            <w:pPr>
              <w:pStyle w:val="ConsPlusNormal"/>
              <w:widowControl/>
              <w:spacing w:line="233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3F6F2D" w:rsidRPr="003F6F2D" w:rsidRDefault="003F6F2D" w:rsidP="002C3B24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Реализация комплексного научно-технического проекта «Производство оригинального и элитного семенного материала перспективных сортов картофеля отечественной селекции»</w:t>
            </w:r>
          </w:p>
        </w:tc>
        <w:tc>
          <w:tcPr>
            <w:tcW w:w="3827" w:type="dxa"/>
            <w:shd w:val="clear" w:color="auto" w:fill="auto"/>
          </w:tcPr>
          <w:p w:rsidR="003F6F2D" w:rsidRPr="003F6F2D" w:rsidRDefault="003F6F2D" w:rsidP="002C3B24">
            <w:pPr>
              <w:pStyle w:val="a3"/>
              <w:spacing w:after="0" w:line="233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3F6F2D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обеспечение производителей картофеля элитным семенным материало</w:t>
            </w:r>
            <w:r w:rsidR="00A2799F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 сортов отечественной селекции;</w:t>
            </w:r>
          </w:p>
          <w:p w:rsidR="003F6F2D" w:rsidRPr="003F6F2D" w:rsidRDefault="003F6F2D" w:rsidP="002C3B24">
            <w:pPr>
              <w:pStyle w:val="a3"/>
              <w:spacing w:after="0" w:line="233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3F6F2D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создание конкурентоспособных сортов картофеля с высокими </w:t>
            </w:r>
            <w:r w:rsidR="00A2799F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хозяйственно-ценными признаками;</w:t>
            </w:r>
          </w:p>
          <w:p w:rsidR="003F6F2D" w:rsidRPr="003F6F2D" w:rsidRDefault="003F6F2D" w:rsidP="002C3B24">
            <w:pPr>
              <w:pStyle w:val="a3"/>
              <w:spacing w:after="0" w:line="233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3F6F2D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снижение зависимости картофелеводов от ввоза импортного семенного материала путём обеспечения их собствен</w:t>
            </w:r>
            <w:r w:rsidR="00A2799F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ными семенами высокого качества;</w:t>
            </w:r>
          </w:p>
          <w:p w:rsidR="003F6F2D" w:rsidRPr="003F6F2D" w:rsidRDefault="003F6F2D" w:rsidP="002C3B24">
            <w:pPr>
              <w:pStyle w:val="a3"/>
              <w:spacing w:after="0" w:line="233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3F6F2D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сокращение затрат на возделывание картофеля;</w:t>
            </w:r>
          </w:p>
          <w:p w:rsidR="003F6F2D" w:rsidRPr="003F6F2D" w:rsidRDefault="003F6F2D" w:rsidP="00A2799F">
            <w:pPr>
              <w:pStyle w:val="a3"/>
              <w:spacing w:after="0" w:line="233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F6F2D">
              <w:rPr>
                <w:rFonts w:ascii="Times New Roman" w:hAnsi="Times New Roman"/>
                <w:color w:val="000000"/>
                <w:sz w:val="22"/>
              </w:rPr>
              <w:t>увеличение доли организаций частной собственнос</w:t>
            </w:r>
            <w:r w:rsidR="00A2799F">
              <w:rPr>
                <w:rFonts w:ascii="Times New Roman" w:hAnsi="Times New Roman"/>
                <w:color w:val="000000"/>
                <w:sz w:val="22"/>
              </w:rPr>
              <w:t xml:space="preserve">ти на рынке семеноводства к 2021 </w:t>
            </w:r>
            <w:r w:rsidRPr="003F6F2D">
              <w:rPr>
                <w:rFonts w:ascii="Times New Roman" w:hAnsi="Times New Roman"/>
                <w:color w:val="000000"/>
                <w:sz w:val="22"/>
              </w:rPr>
              <w:t>году до 95%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67E2C" w:rsidRPr="007D510D" w:rsidRDefault="00367E2C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Группа компаний «Слава картофелю» в 2014 году приступила к созданию </w:t>
            </w:r>
            <w:proofErr w:type="spell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селекционно</w:t>
            </w:r>
            <w:proofErr w:type="spellEnd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-семеноводческого центра на базе ООО «Агрофирма «Слава картофелю - Яльчики».</w:t>
            </w:r>
          </w:p>
          <w:p w:rsidR="00367E2C" w:rsidRPr="007D510D" w:rsidRDefault="00367E2C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Для этого построено специализированное картофелехранилище контейнерного типа с холодильным оборудованием и компьютерным контролем микроклимата мощностью хранения 4 500 тонн. Закуплено складское оборудование для картофелехранилища. Приобретен комплект техники и оборудования для производства оригинальных семян.</w:t>
            </w:r>
          </w:p>
          <w:p w:rsidR="00367E2C" w:rsidRPr="007D510D" w:rsidRDefault="00367E2C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Агрофирмой оборудована лаборатория по </w:t>
            </w:r>
            <w:proofErr w:type="spell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клональному</w:t>
            </w:r>
            <w:proofErr w:type="spellEnd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микроразмножению</w:t>
            </w:r>
            <w:proofErr w:type="spellEnd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микрорастений</w:t>
            </w:r>
            <w:proofErr w:type="spellEnd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диагностическая лаборатория по ПЦР (полимеразная цепная реакция) анализу и ИФА (иммуноферментный анализ)).</w:t>
            </w:r>
            <w:proofErr w:type="gramEnd"/>
          </w:p>
          <w:p w:rsidR="00367E2C" w:rsidRPr="007D510D" w:rsidRDefault="00367E2C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27 декабря 2017 года состоялось открытие лаборатории.</w:t>
            </w:r>
          </w:p>
          <w:p w:rsidR="00367E2C" w:rsidRPr="007D510D" w:rsidRDefault="00367E2C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В дальнейшем предусматривается расширение тепличных площадей (временных конструкций) с 0,5 га до 3 га.</w:t>
            </w:r>
          </w:p>
          <w:p w:rsidR="00367E2C" w:rsidRPr="0080516F" w:rsidRDefault="00367E2C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 выходе на проектную мощность производственные показатели составят: супер-супер элиты 550 тонн, </w:t>
            </w:r>
            <w:proofErr w:type="gram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супер-элиты</w:t>
            </w:r>
            <w:proofErr w:type="gramEnd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2750 тонн, элиты — 6000 тонн, в том числе 544 тонны — перспективные сорта отечественной селекции. Это позволит обеспечить качественным посадочным материалом как </w:t>
            </w:r>
            <w:proofErr w:type="spellStart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>крупнотоварный</w:t>
            </w:r>
            <w:proofErr w:type="spellEnd"/>
            <w:r w:rsidRPr="007D51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сектор производства, так и хозяйства населения.</w:t>
            </w:r>
          </w:p>
          <w:p w:rsidR="003F6F2D" w:rsidRPr="00633FE4" w:rsidRDefault="003F6F2D" w:rsidP="00BE159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B6FE3" w:rsidRPr="00633FE4" w:rsidTr="006B6FE3">
        <w:trPr>
          <w:trHeight w:val="335"/>
        </w:trPr>
        <w:tc>
          <w:tcPr>
            <w:tcW w:w="14884" w:type="dxa"/>
            <w:gridSpan w:val="4"/>
            <w:tcBorders>
              <w:left w:val="nil"/>
              <w:right w:val="single" w:sz="4" w:space="0" w:color="auto"/>
            </w:tcBorders>
          </w:tcPr>
          <w:p w:rsidR="006B6FE3" w:rsidRPr="006B6FE3" w:rsidRDefault="006B6FE3" w:rsidP="00BE159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firstLine="36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B6FE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Рынок вылова водных биоресурсов</w:t>
            </w:r>
          </w:p>
        </w:tc>
      </w:tr>
      <w:tr w:rsidR="003F6F2D" w:rsidRPr="00633FE4" w:rsidTr="00AA7F05"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5.1.</w:t>
            </w:r>
          </w:p>
        </w:tc>
        <w:tc>
          <w:tcPr>
            <w:tcW w:w="3544" w:type="dxa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Ежегодное размещение нормативных правовых актов Чувашской Республики, касающихс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я распределения общих допустимых уловов водных биоресурсов на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 территории Чувашской Республики, на официальном сайте Минприроды Чувашии на Портале органов власти Чувашской Республики в информационно-телеком</w:t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softHyphen/>
            </w: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муникационной сети Интернет (далее – официальный сайт Минприроды Чувашии)  </w:t>
            </w:r>
          </w:p>
        </w:tc>
        <w:tc>
          <w:tcPr>
            <w:tcW w:w="3827" w:type="dxa"/>
          </w:tcPr>
          <w:p w:rsidR="003F6F2D" w:rsidRPr="003F6F2D" w:rsidRDefault="00A2799F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доступность </w:t>
            </w:r>
            <w:r w:rsidR="003F6F2D" w:rsidRPr="003F6F2D">
              <w:rPr>
                <w:rFonts w:ascii="Times New Roman" w:hAnsi="Times New Roman" w:cs="Times New Roman"/>
                <w:color w:val="000000"/>
                <w:szCs w:val="22"/>
              </w:rPr>
              <w:t>информац</w:t>
            </w:r>
            <w:proofErr w:type="gramStart"/>
            <w:r w:rsidR="003F6F2D" w:rsidRPr="003F6F2D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и о е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жегодных изменениях </w:t>
            </w:r>
            <w:r w:rsidR="003F6F2D" w:rsidRPr="003F6F2D">
              <w:rPr>
                <w:rFonts w:ascii="Times New Roman" w:hAnsi="Times New Roman" w:cs="Times New Roman"/>
                <w:color w:val="000000"/>
                <w:szCs w:val="22"/>
              </w:rPr>
              <w:t>общих допустимых уловов водных биоресурсов на территории Чувашской Республики;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доля организаций частной формы собственности на рынке вылова водных биоресурсов – 100%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F6F2D" w:rsidRPr="00633FE4" w:rsidRDefault="00606201" w:rsidP="00367E2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Cs w:val="20"/>
                <w:highlight w:val="cyan"/>
                <w:lang w:eastAsia="ru-RU"/>
              </w:rPr>
            </w:pP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Информация о </w:t>
            </w:r>
            <w:r w:rsidR="00367E2C" w:rsidRPr="00367E2C">
              <w:rPr>
                <w:rFonts w:ascii="Times New Roman" w:eastAsia="Times New Roman" w:hAnsi="Times New Roman"/>
                <w:szCs w:val="20"/>
                <w:lang w:eastAsia="ru-RU"/>
              </w:rPr>
              <w:t>распределении объемов добычи (вылова) водных биологических ресурсов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367E2C" w:rsidRPr="00367E2C">
              <w:rPr>
                <w:rFonts w:ascii="Times New Roman" w:eastAsia="Times New Roman" w:hAnsi="Times New Roman"/>
                <w:szCs w:val="20"/>
                <w:lang w:eastAsia="ru-RU"/>
              </w:rPr>
              <w:t>для осуществления промышленного рыболовства на 2021 год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>размещена 2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декабря 20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года на официальном сайте Министерства природных ресурсов и экологии Чувашской Республики в информационно-телекоммуникационной сети «Интернет».  </w:t>
            </w:r>
            <w:proofErr w:type="gramStart"/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На основании приказа Федерального агентства по рыболовству от 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ноября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 № 6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36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</w:t>
            </w:r>
            <w:r w:rsidR="00367E2C" w:rsidRPr="00367E2C">
              <w:rPr>
                <w:rFonts w:ascii="Times New Roman" w:eastAsia="Times New Roman" w:hAnsi="Times New Roman"/>
                <w:szCs w:val="20"/>
                <w:lang w:eastAsia="ru-RU"/>
              </w:rPr>
              <w:t>О распределении общих допустимых уловов водных биологических ресурсов во внутренних водах Российской Федерации, за исключением внутренних морских вод Российской Федерации, применительно к видам квот их добычи (вылова) на 2021 год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» принят приказ Минприроды Чувашии от 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декабря 20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 № 96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>, которым распределены объемы добычи (вылова) водных биологических</w:t>
            </w:r>
            <w:proofErr w:type="gramEnd"/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ресурсов для осуществления промышленного рыболовства на 202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год. Приказ Федерального агентства по рыболовству от 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ноября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 № 6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36</w:t>
            </w:r>
            <w:r w:rsidRPr="0060620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также размещен на официальном сайте Минприроды Чуваши</w:t>
            </w:r>
            <w:r w:rsidR="00367E2C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3F6F2D" w:rsidRPr="00606201" w:rsidTr="00AA7F05"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5.2.</w:t>
            </w:r>
          </w:p>
        </w:tc>
        <w:tc>
          <w:tcPr>
            <w:tcW w:w="3544" w:type="dxa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Ежегодное размещение актуального перечня рыбопромысловых участков, расположенных на территории Чувашской Республики, с указанием границ и площади рыбопромысловых участков на официальном сайте Минприроды Чувашии  </w:t>
            </w:r>
          </w:p>
        </w:tc>
        <w:tc>
          <w:tcPr>
            <w:tcW w:w="3827" w:type="dxa"/>
          </w:tcPr>
          <w:p w:rsidR="003F6F2D" w:rsidRPr="003F6F2D" w:rsidRDefault="00A2799F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2799F">
              <w:rPr>
                <w:rFonts w:ascii="Times New Roman" w:hAnsi="Times New Roman" w:cs="Times New Roman"/>
                <w:color w:val="000000"/>
                <w:szCs w:val="22"/>
              </w:rPr>
              <w:t>доступность информации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 характерных особенностях </w:t>
            </w:r>
            <w:r w:rsidRPr="00A2799F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3F6F2D" w:rsidRPr="003F6F2D">
              <w:rPr>
                <w:rFonts w:ascii="Times New Roman" w:hAnsi="Times New Roman" w:cs="Times New Roman"/>
                <w:color w:val="000000"/>
                <w:szCs w:val="22"/>
              </w:rPr>
              <w:t>рыбопромысловых участков, расположенных на территории Чувашской Республики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67E2C" w:rsidRDefault="00367E2C" w:rsidP="00367E2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Приказом 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606201">
              <w:rPr>
                <w:rFonts w:ascii="Times New Roman" w:eastAsia="Times New Roman" w:hAnsi="Times New Roman"/>
                <w:lang w:eastAsia="ru-RU"/>
              </w:rPr>
              <w:t xml:space="preserve"> природных ресурсов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экологии Чувашской Республики от 26 декабря 2020 г. № 1011 утвержден перечень рыболовных участков. </w:t>
            </w:r>
          </w:p>
          <w:p w:rsidR="003F6F2D" w:rsidRPr="00606201" w:rsidRDefault="00367E2C" w:rsidP="00367E2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606201" w:rsidRPr="00606201">
              <w:rPr>
                <w:rFonts w:ascii="Times New Roman" w:eastAsia="Times New Roman" w:hAnsi="Times New Roman"/>
                <w:lang w:eastAsia="ru-RU"/>
              </w:rPr>
              <w:t>ереч</w:t>
            </w:r>
            <w:r>
              <w:rPr>
                <w:rFonts w:ascii="Times New Roman" w:eastAsia="Times New Roman" w:hAnsi="Times New Roman"/>
                <w:lang w:eastAsia="ru-RU"/>
              </w:rPr>
              <w:t>ень</w:t>
            </w:r>
            <w:r w:rsidR="00606201" w:rsidRPr="00606201">
              <w:rPr>
                <w:rFonts w:ascii="Times New Roman" w:eastAsia="Times New Roman" w:hAnsi="Times New Roman"/>
                <w:lang w:eastAsia="ru-RU"/>
              </w:rPr>
              <w:t xml:space="preserve"> рыболовных участков Чувашской Республики, подготовлен на основании заключенных договоров пользования рыболовными участками для осуществления промышленного рыболовства.</w:t>
            </w:r>
          </w:p>
        </w:tc>
      </w:tr>
      <w:tr w:rsidR="006B6FE3" w:rsidRPr="00633FE4" w:rsidTr="00B841D9">
        <w:tc>
          <w:tcPr>
            <w:tcW w:w="14884" w:type="dxa"/>
            <w:gridSpan w:val="4"/>
            <w:tcBorders>
              <w:left w:val="nil"/>
              <w:right w:val="single" w:sz="4" w:space="0" w:color="auto"/>
            </w:tcBorders>
          </w:tcPr>
          <w:p w:rsidR="006B6FE3" w:rsidRPr="006B6FE3" w:rsidRDefault="006B6FE3" w:rsidP="00BE1593">
            <w:pPr>
              <w:pStyle w:val="a3"/>
              <w:numPr>
                <w:ilvl w:val="0"/>
                <w:numId w:val="1"/>
              </w:numPr>
              <w:spacing w:after="0"/>
              <w:ind w:firstLine="36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B6FE3">
              <w:rPr>
                <w:rFonts w:ascii="Times New Roman" w:eastAsia="Times New Roman" w:hAnsi="Times New Roman"/>
                <w:b/>
                <w:lang w:eastAsia="ru-RU"/>
              </w:rPr>
              <w:t xml:space="preserve">Рынок </w:t>
            </w:r>
            <w:proofErr w:type="gramStart"/>
            <w:r w:rsidRPr="006B6FE3">
              <w:rPr>
                <w:rFonts w:ascii="Times New Roman" w:eastAsia="Times New Roman" w:hAnsi="Times New Roman"/>
                <w:b/>
                <w:lang w:eastAsia="ru-RU"/>
              </w:rPr>
              <w:t>товарной</w:t>
            </w:r>
            <w:proofErr w:type="gramEnd"/>
            <w:r w:rsidRPr="006B6FE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6B6FE3">
              <w:rPr>
                <w:rFonts w:ascii="Times New Roman" w:eastAsia="Times New Roman" w:hAnsi="Times New Roman"/>
                <w:b/>
                <w:lang w:eastAsia="ru-RU"/>
              </w:rPr>
              <w:t>аквакультуры</w:t>
            </w:r>
            <w:proofErr w:type="spellEnd"/>
          </w:p>
        </w:tc>
      </w:tr>
      <w:tr w:rsidR="003F6F2D" w:rsidRPr="00633FE4" w:rsidTr="00AA7F05">
        <w:tc>
          <w:tcPr>
            <w:tcW w:w="851" w:type="dxa"/>
            <w:tcBorders>
              <w:left w:val="nil"/>
            </w:tcBorders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6.1.</w:t>
            </w:r>
          </w:p>
        </w:tc>
        <w:tc>
          <w:tcPr>
            <w:tcW w:w="3544" w:type="dxa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Развитие рыбоводных организаций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827" w:type="dxa"/>
          </w:tcPr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увеличение объемов производства товарной рыбы;</w:t>
            </w:r>
          </w:p>
          <w:p w:rsidR="003F6F2D" w:rsidRPr="003F6F2D" w:rsidRDefault="003F6F2D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доля организаций частной формы собственности в производстве товарной </w:t>
            </w:r>
            <w:proofErr w:type="spellStart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>аквакультуры</w:t>
            </w:r>
            <w:proofErr w:type="spellEnd"/>
            <w:r w:rsidRPr="003F6F2D">
              <w:rPr>
                <w:rFonts w:ascii="Times New Roman" w:hAnsi="Times New Roman" w:cs="Times New Roman"/>
                <w:color w:val="000000"/>
                <w:szCs w:val="22"/>
              </w:rPr>
              <w:t xml:space="preserve"> – 100%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06201" w:rsidRPr="004E26A7" w:rsidRDefault="00606201" w:rsidP="00BE1593">
            <w:pPr>
              <w:tabs>
                <w:tab w:val="left" w:pos="720"/>
              </w:tabs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>По итогам 20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произведено 2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 товарной рыбы, в том числе карп 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235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тонн, амур 6 тонн, толстолобик 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тонн.</w:t>
            </w:r>
          </w:p>
          <w:p w:rsidR="00606201" w:rsidRPr="004E26A7" w:rsidRDefault="00606201" w:rsidP="00BE1593">
            <w:pPr>
              <w:tabs>
                <w:tab w:val="left" w:pos="720"/>
              </w:tabs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Основные производители товарной рыбы: КФХ Афанасьев А.Ю. Козловского района – 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тонн, ООО Рыбхоз «</w:t>
            </w:r>
            <w:proofErr w:type="spellStart"/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>Киря</w:t>
            </w:r>
            <w:proofErr w:type="spellEnd"/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Порецкого района – 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тонны.</w:t>
            </w:r>
          </w:p>
          <w:p w:rsidR="00606201" w:rsidRPr="00633FE4" w:rsidRDefault="00606201" w:rsidP="00367E2C">
            <w:pPr>
              <w:tabs>
                <w:tab w:val="left" w:pos="720"/>
              </w:tabs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Реализовано товарной рыбы 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158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тонны, рыбопосадочного материала </w:t>
            </w:r>
            <w:r w:rsidR="00367E2C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  <w:r w:rsidRPr="004E26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тонн. </w:t>
            </w:r>
          </w:p>
        </w:tc>
      </w:tr>
    </w:tbl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67E2C" w:rsidRDefault="00367E2C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12" w:rsidRDefault="00B94512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8E" w:rsidRPr="00540913" w:rsidRDefault="00B9458E" w:rsidP="00B9458E">
      <w:pPr>
        <w:pStyle w:val="ConsPlusNormal"/>
        <w:widowControl/>
        <w:ind w:left="9639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B9458E" w:rsidRPr="00540913" w:rsidRDefault="00B9458E" w:rsidP="00B9458E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color w:val="000000"/>
          <w:sz w:val="26"/>
          <w:szCs w:val="26"/>
        </w:rPr>
        <w:t>к плану мероприятий («дорожной карте»)</w:t>
      </w:r>
    </w:p>
    <w:p w:rsidR="00B9458E" w:rsidRPr="00540913" w:rsidRDefault="00B9458E" w:rsidP="00B9458E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color w:val="000000"/>
          <w:sz w:val="26"/>
          <w:szCs w:val="26"/>
        </w:rPr>
        <w:t>по содействию развития конкуренции</w:t>
      </w:r>
    </w:p>
    <w:p w:rsidR="00B9458E" w:rsidRPr="00540913" w:rsidRDefault="00B9458E" w:rsidP="00B9458E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color w:val="000000"/>
          <w:sz w:val="26"/>
          <w:szCs w:val="26"/>
        </w:rPr>
        <w:t xml:space="preserve">в агропромышленном и </w:t>
      </w:r>
      <w:proofErr w:type="spellStart"/>
      <w:r w:rsidRPr="00540913">
        <w:rPr>
          <w:rFonts w:ascii="Times New Roman" w:hAnsi="Times New Roman" w:cs="Times New Roman"/>
          <w:color w:val="000000"/>
          <w:sz w:val="26"/>
          <w:szCs w:val="26"/>
        </w:rPr>
        <w:t>рыбохозяйственном</w:t>
      </w:r>
      <w:proofErr w:type="spellEnd"/>
      <w:r w:rsidRPr="00540913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комплексе Чувашской Республики</w:t>
      </w:r>
    </w:p>
    <w:p w:rsidR="00B9458E" w:rsidRPr="00540913" w:rsidRDefault="00B9458E" w:rsidP="00B9458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8E" w:rsidRPr="00540913" w:rsidRDefault="00B9458E" w:rsidP="00B9458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Я,</w:t>
      </w:r>
    </w:p>
    <w:p w:rsidR="00B9458E" w:rsidRDefault="00B9458E" w:rsidP="00B9458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предусмотренные</w:t>
      </w:r>
      <w:proofErr w:type="gramEnd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утвержденными в установленном порядке правовыми актами Чувашской Республики, </w:t>
      </w:r>
    </w:p>
    <w:p w:rsidR="00B9458E" w:rsidRDefault="00B9458E" w:rsidP="00B9458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реализация</w:t>
      </w:r>
      <w:proofErr w:type="gramEnd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которых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оказывает влияние на состояние конкуренции в Чувашской Республике и которые служат </w:t>
      </w:r>
    </w:p>
    <w:p w:rsidR="00B9458E" w:rsidRDefault="00B9458E" w:rsidP="00B9458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неотъемлемым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дополнением к мероприятиям, предусмотренным планом мероприятий («дорожной картой») </w:t>
      </w:r>
    </w:p>
    <w:p w:rsidR="00B9458E" w:rsidRPr="00540913" w:rsidRDefault="00B9458E" w:rsidP="00B9458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по содействию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развитию конкуренции в агропромышленном и </w:t>
      </w:r>
      <w:proofErr w:type="spellStart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>рыбохозяйственном</w:t>
      </w:r>
      <w:proofErr w:type="spellEnd"/>
      <w:r w:rsidRPr="005409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комплексе Чувашской Республики</w:t>
      </w:r>
    </w:p>
    <w:p w:rsidR="00B9458E" w:rsidRPr="00540913" w:rsidRDefault="00B9458E" w:rsidP="00B945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9458E" w:rsidRPr="00540913" w:rsidRDefault="00B9458E" w:rsidP="00B9458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79" w:type="dxa"/>
        <w:tblInd w:w="-1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7557"/>
        <w:gridCol w:w="2257"/>
      </w:tblGrid>
      <w:tr w:rsidR="00B9458E" w:rsidRPr="00540913" w:rsidTr="002C3B24">
        <w:tc>
          <w:tcPr>
            <w:tcW w:w="5165" w:type="dxa"/>
            <w:tcBorders>
              <w:left w:val="nil"/>
            </w:tcBorders>
          </w:tcPr>
          <w:p w:rsidR="00B9458E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мероприятия, </w:t>
            </w:r>
          </w:p>
          <w:p w:rsidR="00B9458E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</w:t>
            </w:r>
            <w:proofErr w:type="gramEnd"/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которого оказывает влияние </w:t>
            </w:r>
          </w:p>
          <w:p w:rsidR="00B9458E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состояние конкуренции </w:t>
            </w:r>
          </w:p>
          <w:p w:rsidR="00B9458E" w:rsidRPr="00540913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Чувашской Республике</w:t>
            </w:r>
          </w:p>
        </w:tc>
        <w:tc>
          <w:tcPr>
            <w:tcW w:w="7557" w:type="dxa"/>
          </w:tcPr>
          <w:p w:rsidR="00B9458E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и реквизиты правового акта </w:t>
            </w:r>
          </w:p>
          <w:p w:rsidR="00B9458E" w:rsidRPr="00540913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Чувашской Республики, в </w:t>
            </w:r>
            <w:proofErr w:type="gramStart"/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который</w:t>
            </w:r>
            <w:proofErr w:type="gramEnd"/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включено мероприятие</w:t>
            </w:r>
          </w:p>
        </w:tc>
        <w:tc>
          <w:tcPr>
            <w:tcW w:w="2257" w:type="dxa"/>
            <w:tcBorders>
              <w:right w:val="nil"/>
            </w:tcBorders>
          </w:tcPr>
          <w:p w:rsidR="00B9458E" w:rsidRPr="00540913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B9458E" w:rsidRPr="00540913" w:rsidTr="002C3B24">
        <w:tc>
          <w:tcPr>
            <w:tcW w:w="14979" w:type="dxa"/>
            <w:gridSpan w:val="3"/>
            <w:tcBorders>
              <w:left w:val="nil"/>
              <w:right w:val="nil"/>
            </w:tcBorders>
          </w:tcPr>
          <w:p w:rsidR="00B9458E" w:rsidRPr="00540913" w:rsidRDefault="00B9458E" w:rsidP="002C3B2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9458E" w:rsidRPr="00540913" w:rsidRDefault="00B9458E" w:rsidP="002C3B2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Рынок производства и переработки сельскохозяйственной продукции (в том числе молока)</w:t>
            </w:r>
          </w:p>
          <w:p w:rsidR="00B9458E" w:rsidRPr="00540913" w:rsidRDefault="00B9458E" w:rsidP="002C3B2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9458E" w:rsidRPr="00540913" w:rsidTr="002C3B24">
        <w:tc>
          <w:tcPr>
            <w:tcW w:w="5165" w:type="dxa"/>
            <w:tcBorders>
              <w:left w:val="nil"/>
            </w:tcBorders>
          </w:tcPr>
          <w:p w:rsidR="00B9458E" w:rsidRPr="00540913" w:rsidRDefault="00B9458E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роста производства сельскохозяйственной продукции (в том числе молока)</w:t>
            </w:r>
          </w:p>
        </w:tc>
        <w:tc>
          <w:tcPr>
            <w:tcW w:w="7557" w:type="dxa"/>
          </w:tcPr>
          <w:p w:rsidR="00B9458E" w:rsidRPr="00540913" w:rsidRDefault="00B9458E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Кабинета Министров Чувашской Республики от 26 октября 2018 г. № 433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</w:tc>
        <w:tc>
          <w:tcPr>
            <w:tcW w:w="2257" w:type="dxa"/>
            <w:tcBorders>
              <w:right w:val="nil"/>
            </w:tcBorders>
          </w:tcPr>
          <w:p w:rsidR="00B9458E" w:rsidRPr="00540913" w:rsidRDefault="00B9458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– 2035 годы</w:t>
            </w:r>
          </w:p>
        </w:tc>
      </w:tr>
    </w:tbl>
    <w:p w:rsidR="00B9458E" w:rsidRDefault="00B9458E" w:rsidP="00B9458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8E" w:rsidRDefault="00B9458E" w:rsidP="00B9458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458E" w:rsidRDefault="00B9458E" w:rsidP="00B9458E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B9458E" w:rsidSect="00B94512">
          <w:pgSz w:w="16838" w:h="11906" w:orient="landscape" w:code="9"/>
          <w:pgMar w:top="709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</w:t>
      </w:r>
    </w:p>
    <w:p w:rsidR="006B6FE3" w:rsidRPr="00633FE4" w:rsidRDefault="006B6FE3" w:rsidP="006B6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bookmarkStart w:id="2" w:name="P1140"/>
      <w:bookmarkEnd w:id="2"/>
      <w:r w:rsidRPr="00633FE4">
        <w:rPr>
          <w:rFonts w:ascii="Times New Roman" w:eastAsia="Times New Roman" w:hAnsi="Times New Roman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Cs w:val="20"/>
          <w:lang w:eastAsia="ru-RU"/>
        </w:rPr>
        <w:t xml:space="preserve"> № 2</w:t>
      </w:r>
    </w:p>
    <w:p w:rsidR="006B6FE3" w:rsidRPr="00633FE4" w:rsidRDefault="006B6FE3" w:rsidP="006B6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633FE4">
        <w:rPr>
          <w:rFonts w:ascii="Times New Roman" w:eastAsia="Times New Roman" w:hAnsi="Times New Roman"/>
          <w:szCs w:val="20"/>
          <w:lang w:eastAsia="ru-RU"/>
        </w:rPr>
        <w:t>к письму Минсельхоза Чувашии</w:t>
      </w:r>
    </w:p>
    <w:p w:rsidR="006B6FE3" w:rsidRPr="00633FE4" w:rsidRDefault="006B6FE3" w:rsidP="006B6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633FE4">
        <w:rPr>
          <w:rFonts w:ascii="Times New Roman" w:eastAsia="Times New Roman" w:hAnsi="Times New Roman"/>
          <w:szCs w:val="20"/>
          <w:lang w:eastAsia="ru-RU"/>
        </w:rPr>
        <w:t xml:space="preserve">от «   </w:t>
      </w:r>
      <w:r>
        <w:rPr>
          <w:rFonts w:ascii="Times New Roman" w:eastAsia="Times New Roman" w:hAnsi="Times New Roman"/>
          <w:szCs w:val="20"/>
          <w:lang w:eastAsia="ru-RU"/>
        </w:rPr>
        <w:t>» января 202</w:t>
      </w:r>
      <w:r w:rsidR="00CA3A24">
        <w:rPr>
          <w:rFonts w:ascii="Times New Roman" w:eastAsia="Times New Roman" w:hAnsi="Times New Roman"/>
          <w:szCs w:val="20"/>
          <w:lang w:eastAsia="ru-RU"/>
        </w:rPr>
        <w:t>1</w:t>
      </w:r>
      <w:r>
        <w:rPr>
          <w:rFonts w:ascii="Times New Roman" w:eastAsia="Times New Roman" w:hAnsi="Times New Roman"/>
          <w:szCs w:val="20"/>
          <w:lang w:eastAsia="ru-RU"/>
        </w:rPr>
        <w:t>0</w:t>
      </w:r>
      <w:r w:rsidRPr="00633FE4">
        <w:rPr>
          <w:rFonts w:ascii="Times New Roman" w:eastAsia="Times New Roman" w:hAnsi="Times New Roman"/>
          <w:szCs w:val="20"/>
          <w:lang w:eastAsia="ru-RU"/>
        </w:rPr>
        <w:t xml:space="preserve"> г. №</w:t>
      </w:r>
      <w:r w:rsidR="00CA3A24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633FE4">
        <w:rPr>
          <w:rFonts w:ascii="Times New Roman" w:eastAsia="Times New Roman" w:hAnsi="Times New Roman"/>
          <w:szCs w:val="20"/>
          <w:lang w:eastAsia="ru-RU"/>
        </w:rPr>
        <w:t>0</w:t>
      </w:r>
      <w:r w:rsidR="00CA3A24">
        <w:rPr>
          <w:rFonts w:ascii="Times New Roman" w:eastAsia="Times New Roman" w:hAnsi="Times New Roman"/>
          <w:szCs w:val="20"/>
          <w:lang w:eastAsia="ru-RU"/>
        </w:rPr>
        <w:t>3</w:t>
      </w:r>
      <w:r w:rsidRPr="00633FE4">
        <w:rPr>
          <w:rFonts w:ascii="Times New Roman" w:eastAsia="Times New Roman" w:hAnsi="Times New Roman"/>
          <w:szCs w:val="20"/>
          <w:lang w:eastAsia="ru-RU"/>
        </w:rPr>
        <w:t>/</w:t>
      </w:r>
      <w:r w:rsidR="00CA3A24">
        <w:rPr>
          <w:rFonts w:ascii="Times New Roman" w:eastAsia="Times New Roman" w:hAnsi="Times New Roman"/>
          <w:szCs w:val="20"/>
          <w:lang w:eastAsia="ru-RU"/>
        </w:rPr>
        <w:t xml:space="preserve">14- </w:t>
      </w:r>
    </w:p>
    <w:p w:rsidR="00B9458E" w:rsidRDefault="00B9458E" w:rsidP="00B9458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B9458E" w:rsidRPr="003C155A" w:rsidRDefault="00B9458E" w:rsidP="00B9458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C155A">
        <w:rPr>
          <w:rFonts w:ascii="Times New Roman" w:hAnsi="Times New Roman" w:cs="Times New Roman"/>
          <w:color w:val="000000"/>
          <w:sz w:val="26"/>
          <w:szCs w:val="26"/>
        </w:rPr>
        <w:t xml:space="preserve">ЦЕЛЕВЫЕ ПОКАЗАТЕЛИ </w:t>
      </w:r>
    </w:p>
    <w:p w:rsidR="00B9458E" w:rsidRDefault="00B9458E" w:rsidP="00B9458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C155A">
        <w:rPr>
          <w:rFonts w:ascii="Times New Roman" w:hAnsi="Times New Roman" w:cs="Times New Roman"/>
          <w:color w:val="000000"/>
          <w:sz w:val="26"/>
          <w:szCs w:val="26"/>
        </w:rPr>
        <w:t xml:space="preserve">эффективности выполнения плана мероприятий («дорожной карты») по содействию </w:t>
      </w:r>
      <w:r w:rsidRPr="003C155A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развитию конкуренции в агропромышленном и </w:t>
      </w:r>
      <w:proofErr w:type="spellStart"/>
      <w:r w:rsidRPr="003C155A">
        <w:rPr>
          <w:rFonts w:ascii="Times New Roman" w:hAnsi="Times New Roman" w:cs="Times New Roman"/>
          <w:color w:val="000000"/>
          <w:sz w:val="26"/>
          <w:szCs w:val="26"/>
        </w:rPr>
        <w:t>рыбохозяйственном</w:t>
      </w:r>
      <w:proofErr w:type="spellEnd"/>
      <w:r w:rsidRPr="003C155A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комплексе Чувашской Республики</w:t>
      </w:r>
    </w:p>
    <w:p w:rsidR="00B9458E" w:rsidRPr="003C155A" w:rsidRDefault="00B9458E" w:rsidP="00B9458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46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992"/>
        <w:gridCol w:w="851"/>
        <w:gridCol w:w="1134"/>
        <w:gridCol w:w="992"/>
        <w:gridCol w:w="1134"/>
        <w:gridCol w:w="992"/>
        <w:gridCol w:w="992"/>
        <w:gridCol w:w="992"/>
      </w:tblGrid>
      <w:tr w:rsidR="00D41341" w:rsidRPr="009C071C" w:rsidTr="00D41341">
        <w:tc>
          <w:tcPr>
            <w:tcW w:w="629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</w:tcPr>
          <w:p w:rsidR="00D41341" w:rsidRPr="009C071C" w:rsidRDefault="00D41341" w:rsidP="00D413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(факт)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(факт)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D41341" w:rsidRPr="009C071C" w:rsidTr="004807B5">
        <w:tc>
          <w:tcPr>
            <w:tcW w:w="629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33" w:type="dxa"/>
            <w:gridSpan w:val="9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341" w:rsidRPr="009C071C" w:rsidRDefault="00D41341" w:rsidP="002C3B2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Рынок производства и переработки сельскохозяйственной продукции </w:t>
            </w:r>
          </w:p>
          <w:p w:rsidR="00D41341" w:rsidRPr="009C071C" w:rsidRDefault="00D41341" w:rsidP="002C3B2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1341" w:rsidRPr="009C071C" w:rsidTr="00D41341">
        <w:tc>
          <w:tcPr>
            <w:tcW w:w="629" w:type="dxa"/>
            <w:vMerge w:val="restart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реализации сельскохозяйственной продукции, произведенной малыми формами хозяйствования, в общем объеме реализации сельскохозяйственной продукции, процентов: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1" w:rsidRPr="009C071C" w:rsidTr="00D41341">
        <w:trPr>
          <w:trHeight w:val="249"/>
        </w:trPr>
        <w:tc>
          <w:tcPr>
            <w:tcW w:w="629" w:type="dxa"/>
            <w:vMerge/>
          </w:tcPr>
          <w:p w:rsidR="00D41341" w:rsidRPr="009C071C" w:rsidRDefault="00D41341" w:rsidP="002C3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ind w:firstLine="3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992" w:type="dxa"/>
          </w:tcPr>
          <w:p w:rsidR="00D41341" w:rsidRPr="004E26A7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992" w:type="dxa"/>
          </w:tcPr>
          <w:p w:rsidR="00D41341" w:rsidRPr="009C071C" w:rsidRDefault="00CC555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D41341" w:rsidRPr="009C071C" w:rsidTr="00D41341">
        <w:tc>
          <w:tcPr>
            <w:tcW w:w="629" w:type="dxa"/>
            <w:vMerge/>
          </w:tcPr>
          <w:p w:rsidR="00D41341" w:rsidRPr="009C071C" w:rsidRDefault="00D41341" w:rsidP="002C3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ind w:firstLine="3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992" w:type="dxa"/>
          </w:tcPr>
          <w:p w:rsidR="00D41341" w:rsidRPr="009C071C" w:rsidRDefault="00CC555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D41341" w:rsidRPr="009C071C" w:rsidTr="00D41341">
        <w:tc>
          <w:tcPr>
            <w:tcW w:w="629" w:type="dxa"/>
            <w:vMerge/>
          </w:tcPr>
          <w:p w:rsidR="00D41341" w:rsidRPr="009C071C" w:rsidRDefault="00D41341" w:rsidP="002C3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ind w:firstLine="3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92" w:type="dxa"/>
          </w:tcPr>
          <w:p w:rsidR="00D41341" w:rsidRPr="009C071C" w:rsidRDefault="00CC555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D41341" w:rsidRPr="009C071C" w:rsidTr="00D41341">
        <w:tc>
          <w:tcPr>
            <w:tcW w:w="629" w:type="dxa"/>
            <w:vMerge/>
          </w:tcPr>
          <w:p w:rsidR="00D41341" w:rsidRPr="009C071C" w:rsidRDefault="00D41341" w:rsidP="002C3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ind w:firstLine="3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92" w:type="dxa"/>
          </w:tcPr>
          <w:p w:rsidR="00D41341" w:rsidRPr="009C071C" w:rsidRDefault="00CC555E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</w:tr>
      <w:tr w:rsidR="00D41341" w:rsidRPr="009C071C" w:rsidTr="00D41341">
        <w:trPr>
          <w:trHeight w:val="513"/>
        </w:trPr>
        <w:tc>
          <w:tcPr>
            <w:tcW w:w="629" w:type="dxa"/>
          </w:tcPr>
          <w:p w:rsidR="00D41341" w:rsidRPr="009C071C" w:rsidRDefault="00D41341" w:rsidP="002C3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на рынке племенного животноводства,  процентов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D41341" w:rsidRPr="009C071C" w:rsidTr="00D41341">
        <w:tc>
          <w:tcPr>
            <w:tcW w:w="629" w:type="dxa"/>
          </w:tcPr>
          <w:p w:rsidR="00D41341" w:rsidRPr="009C071C" w:rsidRDefault="00D41341" w:rsidP="002C3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организаций частной формы собственности на рынке семеноводства, процентов 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41341" w:rsidRPr="009C071C" w:rsidTr="00D41341">
        <w:tc>
          <w:tcPr>
            <w:tcW w:w="629" w:type="dxa"/>
          </w:tcPr>
          <w:p w:rsidR="00D41341" w:rsidRPr="009C071C" w:rsidRDefault="00D41341" w:rsidP="002C3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D41341" w:rsidRPr="009C071C" w:rsidRDefault="00D41341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организаций частной формы собственности на рынке вылова водных биоресурсов, процентов 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341" w:rsidRPr="009C071C" w:rsidTr="00D41341">
        <w:tc>
          <w:tcPr>
            <w:tcW w:w="629" w:type="dxa"/>
            <w:shd w:val="clear" w:color="auto" w:fill="auto"/>
          </w:tcPr>
          <w:p w:rsidR="00D41341" w:rsidRPr="009C071C" w:rsidRDefault="00D41341" w:rsidP="002C3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организаций частной формы собственности в производстве товарной </w:t>
            </w:r>
            <w:proofErr w:type="spellStart"/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процентов</w:t>
            </w:r>
          </w:p>
        </w:tc>
        <w:tc>
          <w:tcPr>
            <w:tcW w:w="992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D41341" w:rsidRPr="009C071C" w:rsidRDefault="00D41341" w:rsidP="002C3B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9458E" w:rsidRPr="009C071C" w:rsidRDefault="00B9458E" w:rsidP="00B945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1B9F" w:rsidRPr="009C071C" w:rsidRDefault="00BF1B9F">
      <w:pPr>
        <w:rPr>
          <w:sz w:val="24"/>
          <w:szCs w:val="24"/>
        </w:rPr>
      </w:pPr>
    </w:p>
    <w:sectPr w:rsidR="00BF1B9F" w:rsidRPr="009C071C" w:rsidSect="00540913">
      <w:pgSz w:w="16838" w:h="11906" w:orient="landscape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0747"/>
    <w:multiLevelType w:val="hybridMultilevel"/>
    <w:tmpl w:val="C336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8E"/>
    <w:rsid w:val="000343B7"/>
    <w:rsid w:val="00083887"/>
    <w:rsid w:val="000C3604"/>
    <w:rsid w:val="001458C8"/>
    <w:rsid w:val="002173A3"/>
    <w:rsid w:val="002C3098"/>
    <w:rsid w:val="00367E2C"/>
    <w:rsid w:val="003C0562"/>
    <w:rsid w:val="003E74EA"/>
    <w:rsid w:val="003E7B48"/>
    <w:rsid w:val="003F0738"/>
    <w:rsid w:val="003F6F2D"/>
    <w:rsid w:val="004115A2"/>
    <w:rsid w:val="00411B35"/>
    <w:rsid w:val="004C7C81"/>
    <w:rsid w:val="004E26A7"/>
    <w:rsid w:val="004E593F"/>
    <w:rsid w:val="00606201"/>
    <w:rsid w:val="00633FE4"/>
    <w:rsid w:val="00665BB8"/>
    <w:rsid w:val="00692DEC"/>
    <w:rsid w:val="006B66D0"/>
    <w:rsid w:val="006B6FE3"/>
    <w:rsid w:val="006C3EEB"/>
    <w:rsid w:val="006E5CE4"/>
    <w:rsid w:val="00712A6A"/>
    <w:rsid w:val="007D510D"/>
    <w:rsid w:val="007F58F4"/>
    <w:rsid w:val="00800984"/>
    <w:rsid w:val="00877859"/>
    <w:rsid w:val="0088349D"/>
    <w:rsid w:val="00897852"/>
    <w:rsid w:val="008C40E6"/>
    <w:rsid w:val="008C66DD"/>
    <w:rsid w:val="008F34BD"/>
    <w:rsid w:val="00922EA7"/>
    <w:rsid w:val="009B3628"/>
    <w:rsid w:val="009B65A0"/>
    <w:rsid w:val="009C071C"/>
    <w:rsid w:val="00A06E09"/>
    <w:rsid w:val="00A2799F"/>
    <w:rsid w:val="00A53A61"/>
    <w:rsid w:val="00AA7F05"/>
    <w:rsid w:val="00B40825"/>
    <w:rsid w:val="00B409DF"/>
    <w:rsid w:val="00B94512"/>
    <w:rsid w:val="00B9458E"/>
    <w:rsid w:val="00BE1593"/>
    <w:rsid w:val="00BF1B9F"/>
    <w:rsid w:val="00C109CB"/>
    <w:rsid w:val="00CA3A24"/>
    <w:rsid w:val="00CC555E"/>
    <w:rsid w:val="00D34E63"/>
    <w:rsid w:val="00D41341"/>
    <w:rsid w:val="00D82FB6"/>
    <w:rsid w:val="00D86FA6"/>
    <w:rsid w:val="00D97A21"/>
    <w:rsid w:val="00E56CEB"/>
    <w:rsid w:val="00F01195"/>
    <w:rsid w:val="00F22048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B9458E"/>
    <w:pPr>
      <w:spacing w:after="180" w:line="240" w:lineRule="auto"/>
      <w:ind w:left="720" w:hanging="288"/>
      <w:contextualSpacing/>
    </w:pPr>
    <w:rPr>
      <w:color w:val="303030"/>
      <w:sz w:val="21"/>
    </w:rPr>
  </w:style>
  <w:style w:type="character" w:styleId="a4">
    <w:name w:val="Hyperlink"/>
    <w:basedOn w:val="a0"/>
    <w:uiPriority w:val="99"/>
    <w:unhideWhenUsed/>
    <w:rsid w:val="00E56C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3B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3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67E2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67E2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B9458E"/>
    <w:pPr>
      <w:spacing w:after="180" w:line="240" w:lineRule="auto"/>
      <w:ind w:left="720" w:hanging="288"/>
      <w:contextualSpacing/>
    </w:pPr>
    <w:rPr>
      <w:color w:val="303030"/>
      <w:sz w:val="21"/>
    </w:rPr>
  </w:style>
  <w:style w:type="character" w:styleId="a4">
    <w:name w:val="Hyperlink"/>
    <w:basedOn w:val="a0"/>
    <w:uiPriority w:val="99"/>
    <w:unhideWhenUsed/>
    <w:rsid w:val="00E56C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3B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3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67E2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67E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gro.cap.ru/analitika/cenovaya-informaciya/zakupochnie-ceni-na-moloko-ot-nase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946A-22F9-4399-BAD8-D8BCFF90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Захарова Кристина Владимировна</dc:creator>
  <cp:lastModifiedBy>МЭ Молякова Наталья Николаевна</cp:lastModifiedBy>
  <cp:revision>2</cp:revision>
  <cp:lastPrinted>2021-01-20T07:20:00Z</cp:lastPrinted>
  <dcterms:created xsi:type="dcterms:W3CDTF">2021-02-23T11:54:00Z</dcterms:created>
  <dcterms:modified xsi:type="dcterms:W3CDTF">2021-02-23T11:54:00Z</dcterms:modified>
</cp:coreProperties>
</file>