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A9" w:rsidRDefault="00C4032E" w:rsidP="00557FA9">
      <w:pPr>
        <w:pStyle w:val="a3"/>
        <w:tabs>
          <w:tab w:val="left" w:pos="1162"/>
        </w:tabs>
        <w:spacing w:line="0" w:lineRule="atLeast"/>
        <w:ind w:left="0" w:firstLine="709"/>
        <w:jc w:val="right"/>
        <w:rPr>
          <w:rFonts w:ascii="Times New Roman" w:eastAsiaTheme="minorHAnsi" w:hAnsi="Times New Roman"/>
          <w:sz w:val="26"/>
          <w:szCs w:val="26"/>
          <w:lang w:eastAsia="en-US"/>
        </w:rPr>
      </w:pPr>
      <w:bookmarkStart w:id="0" w:name="_GoBack"/>
      <w:bookmarkEnd w:id="0"/>
      <w:r>
        <w:rPr>
          <w:rFonts w:ascii="Times New Roman" w:eastAsiaTheme="minorHAnsi" w:hAnsi="Times New Roman"/>
          <w:sz w:val="26"/>
          <w:szCs w:val="26"/>
          <w:lang w:eastAsia="en-US"/>
        </w:rPr>
        <w:t>Приложение 1</w:t>
      </w:r>
    </w:p>
    <w:p w:rsidR="00EC5EEF" w:rsidRDefault="00EC5EEF" w:rsidP="00BB6863">
      <w:pPr>
        <w:pStyle w:val="a3"/>
        <w:tabs>
          <w:tab w:val="left" w:pos="1162"/>
        </w:tabs>
        <w:spacing w:line="0" w:lineRule="atLeast"/>
        <w:ind w:left="0" w:firstLine="709"/>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Информация </w:t>
      </w:r>
    </w:p>
    <w:p w:rsidR="00BB6863" w:rsidRDefault="00EC5EEF" w:rsidP="00BB6863">
      <w:pPr>
        <w:pStyle w:val="a3"/>
        <w:tabs>
          <w:tab w:val="left" w:pos="1162"/>
        </w:tabs>
        <w:spacing w:line="0" w:lineRule="atLeast"/>
        <w:ind w:left="0" w:firstLine="709"/>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о ходе выполнения</w:t>
      </w:r>
      <w:r w:rsidR="00BB6863">
        <w:rPr>
          <w:rFonts w:ascii="Times New Roman" w:eastAsiaTheme="minorHAnsi" w:hAnsi="Times New Roman"/>
          <w:sz w:val="26"/>
          <w:szCs w:val="26"/>
          <w:lang w:eastAsia="en-US"/>
        </w:rPr>
        <w:t xml:space="preserve"> план</w:t>
      </w:r>
      <w:r>
        <w:rPr>
          <w:rFonts w:ascii="Times New Roman" w:eastAsiaTheme="minorHAnsi" w:hAnsi="Times New Roman"/>
          <w:sz w:val="26"/>
          <w:szCs w:val="26"/>
          <w:lang w:eastAsia="en-US"/>
        </w:rPr>
        <w:t>а</w:t>
      </w:r>
      <w:r w:rsidR="00BB6863">
        <w:rPr>
          <w:rFonts w:ascii="Times New Roman" w:eastAsiaTheme="minorHAnsi" w:hAnsi="Times New Roman"/>
          <w:sz w:val="26"/>
          <w:szCs w:val="26"/>
          <w:lang w:eastAsia="en-US"/>
        </w:rPr>
        <w:t xml:space="preserve"> мероприятий («дорожной карты») по содействию развитию конкуренции в сфере строительства и жилищно-коммунального хозяйства Чувашской Республики</w:t>
      </w:r>
    </w:p>
    <w:p w:rsidR="00713D4D" w:rsidRDefault="00713D4D" w:rsidP="00BB6863">
      <w:pPr>
        <w:pStyle w:val="a3"/>
        <w:tabs>
          <w:tab w:val="left" w:pos="1162"/>
        </w:tabs>
        <w:spacing w:line="0" w:lineRule="atLeast"/>
        <w:ind w:left="0" w:firstLine="709"/>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за 2020 год</w:t>
      </w:r>
    </w:p>
    <w:p w:rsidR="00BB6863" w:rsidRDefault="00BB6863" w:rsidP="00BB6863">
      <w:pPr>
        <w:pStyle w:val="a3"/>
        <w:tabs>
          <w:tab w:val="left" w:pos="1162"/>
        </w:tabs>
        <w:spacing w:line="0" w:lineRule="atLeast"/>
        <w:ind w:left="0" w:firstLine="709"/>
        <w:jc w:val="both"/>
        <w:rPr>
          <w:rFonts w:ascii="Times New Roman" w:eastAsiaTheme="minorHAnsi" w:hAnsi="Times New Roman"/>
          <w:sz w:val="26"/>
          <w:szCs w:val="26"/>
          <w:lang w:eastAsia="en-US"/>
        </w:rPr>
      </w:pPr>
    </w:p>
    <w:tbl>
      <w:tblPr>
        <w:tblStyle w:val="a9"/>
        <w:tblW w:w="15843" w:type="dxa"/>
        <w:tblLook w:val="04A0" w:firstRow="1" w:lastRow="0" w:firstColumn="1" w:lastColumn="0" w:noHBand="0" w:noVBand="1"/>
      </w:tblPr>
      <w:tblGrid>
        <w:gridCol w:w="675"/>
        <w:gridCol w:w="6946"/>
        <w:gridCol w:w="8222"/>
      </w:tblGrid>
      <w:tr w:rsidR="00BB6863" w:rsidTr="00FD2237">
        <w:tc>
          <w:tcPr>
            <w:tcW w:w="675" w:type="dxa"/>
          </w:tcPr>
          <w:p w:rsidR="00BB6863" w:rsidRPr="00C45B7C" w:rsidRDefault="00BB6863" w:rsidP="00497BAC">
            <w:pPr>
              <w:pStyle w:val="a3"/>
              <w:tabs>
                <w:tab w:val="left" w:pos="1162"/>
              </w:tabs>
              <w:spacing w:line="0" w:lineRule="atLeast"/>
              <w:ind w:left="0"/>
              <w:jc w:val="both"/>
              <w:rPr>
                <w:rFonts w:ascii="Times New Roman" w:eastAsiaTheme="minorHAnsi" w:hAnsi="Times New Roman"/>
                <w:lang w:eastAsia="en-US"/>
              </w:rPr>
            </w:pPr>
            <w:r w:rsidRPr="00C45B7C">
              <w:rPr>
                <w:rFonts w:ascii="Times New Roman" w:eastAsiaTheme="minorHAnsi" w:hAnsi="Times New Roman"/>
                <w:lang w:eastAsia="en-US"/>
              </w:rPr>
              <w:t xml:space="preserve">№ </w:t>
            </w:r>
            <w:proofErr w:type="gramStart"/>
            <w:r w:rsidRPr="00C45B7C">
              <w:rPr>
                <w:rFonts w:ascii="Times New Roman" w:eastAsiaTheme="minorHAnsi" w:hAnsi="Times New Roman"/>
                <w:lang w:eastAsia="en-US"/>
              </w:rPr>
              <w:t>п</w:t>
            </w:r>
            <w:proofErr w:type="gramEnd"/>
            <w:r w:rsidRPr="00C45B7C">
              <w:rPr>
                <w:rFonts w:ascii="Times New Roman" w:eastAsiaTheme="minorHAnsi" w:hAnsi="Times New Roman"/>
                <w:lang w:eastAsia="en-US"/>
              </w:rPr>
              <w:t>/п</w:t>
            </w:r>
          </w:p>
        </w:tc>
        <w:tc>
          <w:tcPr>
            <w:tcW w:w="6946" w:type="dxa"/>
          </w:tcPr>
          <w:p w:rsidR="00486042" w:rsidRDefault="00BB6863" w:rsidP="00486042">
            <w:pPr>
              <w:pStyle w:val="a3"/>
              <w:tabs>
                <w:tab w:val="left" w:pos="1162"/>
              </w:tabs>
              <w:spacing w:line="0" w:lineRule="atLeast"/>
              <w:ind w:left="0"/>
              <w:jc w:val="center"/>
              <w:rPr>
                <w:rFonts w:ascii="Times New Roman" w:eastAsiaTheme="minorHAnsi" w:hAnsi="Times New Roman"/>
                <w:lang w:eastAsia="en-US"/>
              </w:rPr>
            </w:pPr>
            <w:r w:rsidRPr="00C45B7C">
              <w:rPr>
                <w:rFonts w:ascii="Times New Roman" w:eastAsiaTheme="minorHAnsi" w:hAnsi="Times New Roman"/>
                <w:lang w:eastAsia="en-US"/>
              </w:rPr>
              <w:t>Наименование мероприятия</w:t>
            </w:r>
          </w:p>
          <w:p w:rsidR="00BB6863" w:rsidRPr="00C45B7C" w:rsidRDefault="00486042" w:rsidP="00486042">
            <w:pPr>
              <w:pStyle w:val="a3"/>
              <w:tabs>
                <w:tab w:val="left" w:pos="1162"/>
              </w:tabs>
              <w:spacing w:line="0" w:lineRule="atLeast"/>
              <w:ind w:left="0"/>
              <w:jc w:val="center"/>
              <w:rPr>
                <w:rFonts w:ascii="Times New Roman" w:eastAsiaTheme="minorHAnsi" w:hAnsi="Times New Roman"/>
                <w:lang w:eastAsia="en-US"/>
              </w:rPr>
            </w:pPr>
            <w:r w:rsidRPr="00C45B7C">
              <w:rPr>
                <w:rFonts w:ascii="Times New Roman" w:eastAsiaTheme="minorHAnsi" w:hAnsi="Times New Roman"/>
                <w:lang w:eastAsia="en-US"/>
              </w:rPr>
              <w:t xml:space="preserve"> </w:t>
            </w:r>
            <w:r w:rsidR="00BB6863" w:rsidRPr="00C45B7C">
              <w:rPr>
                <w:rFonts w:ascii="Times New Roman" w:eastAsiaTheme="minorHAnsi" w:hAnsi="Times New Roman"/>
                <w:lang w:eastAsia="en-US"/>
              </w:rPr>
              <w:t xml:space="preserve">(в </w:t>
            </w:r>
            <w:proofErr w:type="gramStart"/>
            <w:r w:rsidR="00BB6863" w:rsidRPr="00C45B7C">
              <w:rPr>
                <w:rFonts w:ascii="Times New Roman" w:eastAsiaTheme="minorHAnsi" w:hAnsi="Times New Roman"/>
                <w:lang w:eastAsia="en-US"/>
              </w:rPr>
              <w:t>соответствии</w:t>
            </w:r>
            <w:proofErr w:type="gramEnd"/>
            <w:r w:rsidR="00BB6863" w:rsidRPr="00C45B7C">
              <w:rPr>
                <w:rFonts w:ascii="Times New Roman" w:eastAsiaTheme="minorHAnsi" w:hAnsi="Times New Roman"/>
                <w:lang w:eastAsia="en-US"/>
              </w:rPr>
              <w:t xml:space="preserve"> с приложением №1 к распоряжению Главы Чувашской Республики от </w:t>
            </w:r>
            <w:r w:rsidR="00BB6863">
              <w:rPr>
                <w:rFonts w:ascii="Times New Roman" w:eastAsiaTheme="minorHAnsi" w:hAnsi="Times New Roman"/>
                <w:lang w:eastAsia="en-US"/>
              </w:rPr>
              <w:t>7</w:t>
            </w:r>
            <w:r w:rsidR="00BB6863" w:rsidRPr="00C45B7C">
              <w:rPr>
                <w:rFonts w:ascii="Times New Roman" w:eastAsiaTheme="minorHAnsi" w:hAnsi="Times New Roman"/>
                <w:lang w:eastAsia="en-US"/>
              </w:rPr>
              <w:t xml:space="preserve"> </w:t>
            </w:r>
            <w:r w:rsidR="00BB6863">
              <w:rPr>
                <w:rFonts w:ascii="Times New Roman" w:eastAsiaTheme="minorHAnsi" w:hAnsi="Times New Roman"/>
                <w:lang w:eastAsia="en-US"/>
              </w:rPr>
              <w:t>августа</w:t>
            </w:r>
            <w:r w:rsidR="00BB6863" w:rsidRPr="00C45B7C">
              <w:rPr>
                <w:rFonts w:ascii="Times New Roman" w:eastAsiaTheme="minorHAnsi" w:hAnsi="Times New Roman"/>
                <w:lang w:eastAsia="en-US"/>
              </w:rPr>
              <w:t xml:space="preserve"> 2019 г. №</w:t>
            </w:r>
            <w:r w:rsidR="00BB6863">
              <w:rPr>
                <w:rFonts w:ascii="Times New Roman" w:eastAsiaTheme="minorHAnsi" w:hAnsi="Times New Roman"/>
                <w:lang w:eastAsia="en-US"/>
              </w:rPr>
              <w:t>308</w:t>
            </w:r>
            <w:r w:rsidR="00BB6863" w:rsidRPr="00C45B7C">
              <w:rPr>
                <w:rFonts w:ascii="Times New Roman" w:eastAsiaTheme="minorHAnsi" w:hAnsi="Times New Roman"/>
                <w:lang w:eastAsia="en-US"/>
              </w:rPr>
              <w:t>-рг)</w:t>
            </w:r>
          </w:p>
        </w:tc>
        <w:tc>
          <w:tcPr>
            <w:tcW w:w="8222" w:type="dxa"/>
          </w:tcPr>
          <w:p w:rsidR="00BB6863" w:rsidRPr="00C45B7C" w:rsidRDefault="00BB6863" w:rsidP="00497BAC">
            <w:pPr>
              <w:pStyle w:val="a3"/>
              <w:tabs>
                <w:tab w:val="left" w:pos="1162"/>
              </w:tabs>
              <w:spacing w:line="0" w:lineRule="atLeast"/>
              <w:ind w:left="0"/>
              <w:jc w:val="center"/>
              <w:rPr>
                <w:rFonts w:ascii="Times New Roman" w:eastAsiaTheme="minorHAnsi" w:hAnsi="Times New Roman"/>
                <w:lang w:eastAsia="en-US"/>
              </w:rPr>
            </w:pPr>
            <w:r w:rsidRPr="00C45B7C">
              <w:rPr>
                <w:rFonts w:ascii="Times New Roman" w:eastAsiaTheme="minorHAnsi" w:hAnsi="Times New Roman"/>
                <w:lang w:eastAsia="en-US"/>
              </w:rPr>
              <w:t>Отчет о ходе реализации мер</w:t>
            </w:r>
            <w:r>
              <w:rPr>
                <w:rFonts w:ascii="Times New Roman" w:eastAsiaTheme="minorHAnsi" w:hAnsi="Times New Roman"/>
                <w:lang w:eastAsia="en-US"/>
              </w:rPr>
              <w:t>о</w:t>
            </w:r>
            <w:r w:rsidRPr="00C45B7C">
              <w:rPr>
                <w:rFonts w:ascii="Times New Roman" w:eastAsiaTheme="minorHAnsi" w:hAnsi="Times New Roman"/>
                <w:lang w:eastAsia="en-US"/>
              </w:rPr>
              <w:t>приятия</w:t>
            </w:r>
          </w:p>
        </w:tc>
      </w:tr>
      <w:tr w:rsidR="00BB6863" w:rsidTr="00FD2237">
        <w:tc>
          <w:tcPr>
            <w:tcW w:w="15843" w:type="dxa"/>
            <w:gridSpan w:val="3"/>
          </w:tcPr>
          <w:p w:rsidR="00BB6863" w:rsidRPr="00557FA9" w:rsidRDefault="00BB6863" w:rsidP="00497BAC">
            <w:pPr>
              <w:pStyle w:val="a3"/>
              <w:tabs>
                <w:tab w:val="left" w:pos="1162"/>
              </w:tabs>
              <w:spacing w:line="0" w:lineRule="atLeast"/>
              <w:ind w:left="0" w:firstLine="709"/>
              <w:jc w:val="center"/>
              <w:rPr>
                <w:rFonts w:ascii="Times New Roman" w:eastAsiaTheme="minorHAnsi" w:hAnsi="Times New Roman"/>
                <w:lang w:eastAsia="en-US"/>
              </w:rPr>
            </w:pPr>
            <w:r>
              <w:rPr>
                <w:rFonts w:ascii="Times New Roman" w:eastAsiaTheme="minorHAnsi" w:hAnsi="Times New Roman"/>
                <w:lang w:eastAsia="en-US"/>
              </w:rPr>
              <w:t xml:space="preserve">1. </w:t>
            </w:r>
            <w:r w:rsidRPr="004F339F">
              <w:rPr>
                <w:rFonts w:ascii="Times New Roman" w:eastAsiaTheme="minorHAnsi" w:hAnsi="Times New Roman"/>
                <w:lang w:eastAsia="en-US"/>
              </w:rPr>
              <w:t>Мероприятия по содействию развитию конкуренции на рынках жилищного строительства, строительства (за исключением дорожного строительства), архитектурно-строительного проектирования, производства кирпича и производства бетона</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 xml:space="preserve">1.1. </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Принятие мер по увеличению объемов жилищного строительства путем строительства стандартного жилья</w:t>
            </w:r>
          </w:p>
        </w:tc>
        <w:tc>
          <w:tcPr>
            <w:tcW w:w="8222" w:type="dxa"/>
          </w:tcPr>
          <w:p w:rsidR="00BB6863" w:rsidRPr="00F46D6A" w:rsidRDefault="003C1F57" w:rsidP="003C0DDD">
            <w:pPr>
              <w:jc w:val="both"/>
              <w:rPr>
                <w:rFonts w:ascii="Times New Roman" w:eastAsiaTheme="minorHAnsi" w:hAnsi="Times New Roman"/>
                <w:lang w:eastAsia="en-US"/>
              </w:rPr>
            </w:pPr>
            <w:r w:rsidRPr="00F46D6A">
              <w:rPr>
                <w:rFonts w:ascii="Times New Roman" w:hAnsi="Times New Roman"/>
                <w:szCs w:val="24"/>
              </w:rPr>
              <w:t>В Чувашской Республикой в  2020 год введено в эксплуатацию не 577,5 тыс.</w:t>
            </w:r>
            <w:r w:rsidR="00E62D09" w:rsidRPr="00F46D6A">
              <w:rPr>
                <w:rFonts w:ascii="Times New Roman" w:hAnsi="Times New Roman"/>
                <w:szCs w:val="24"/>
              </w:rPr>
              <w:t xml:space="preserve"> </w:t>
            </w:r>
            <w:proofErr w:type="spellStart"/>
            <w:r w:rsidRPr="00F46D6A">
              <w:rPr>
                <w:rFonts w:ascii="Times New Roman" w:hAnsi="Times New Roman"/>
                <w:szCs w:val="24"/>
              </w:rPr>
              <w:t>кв</w:t>
            </w:r>
            <w:proofErr w:type="gramStart"/>
            <w:r w:rsidRPr="00F46D6A">
              <w:rPr>
                <w:rFonts w:ascii="Times New Roman" w:hAnsi="Times New Roman"/>
                <w:szCs w:val="24"/>
              </w:rPr>
              <w:t>.м</w:t>
            </w:r>
            <w:proofErr w:type="spellEnd"/>
            <w:proofErr w:type="gramEnd"/>
            <w:r w:rsidRPr="00F46D6A">
              <w:rPr>
                <w:rFonts w:ascii="Times New Roman" w:hAnsi="Times New Roman"/>
                <w:szCs w:val="24"/>
              </w:rPr>
              <w:t xml:space="preserve"> общей площади жилья или  88,0 % к уровню 2019 года (656,4 тыс. кв. м), из них: 84,6% (414,8 тыс. кв. м) – многоквартирного жилья, 98,0% (162,7 тыс. кв. м) – индивидуального жилья.</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1.2.</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Ведение реестров выданных разрешений на строительство многоквартирного жилья и разрешений на ввод в эксплуатацию многоквартирного жилья, размещаемых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сеть "Интернет"), в целях повышения информированности граждан об объектах жилищного строительства</w:t>
            </w:r>
          </w:p>
        </w:tc>
        <w:tc>
          <w:tcPr>
            <w:tcW w:w="8222" w:type="dxa"/>
          </w:tcPr>
          <w:p w:rsidR="00BB6863" w:rsidRPr="00F46D6A" w:rsidRDefault="00A701FC"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Органами местного ведется реестр выданных ими разрешений на строительство многоквартирного жилья и разрешений на ввод в эксплуатацию многоквартирного жилья. </w:t>
            </w:r>
            <w:proofErr w:type="gramStart"/>
            <w:r w:rsidRPr="00F46D6A">
              <w:rPr>
                <w:rFonts w:ascii="Times New Roman" w:eastAsiaTheme="minorHAnsi" w:hAnsi="Times New Roman"/>
                <w:lang w:eastAsia="en-US"/>
              </w:rPr>
              <w:t>В целях повышения информированности граждан о планируемых, строящихся и построенных  объектах жилищного строительства органы местного самоуправления на своих официальных сайтах в сети "Интернет" размещают указанный выше реестр выданных ими разрешений на строительство и разрешений на ввод в эксплуатацию многоквартирного жилья.</w:t>
            </w:r>
            <w:proofErr w:type="gramEnd"/>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1.3.</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Проведение мониторинга административных барьеров и оценки состояния конкурентной среды на рынках жилищного строительства, строительства (за исключением дорожного строительства), архитектурно-строительного проектирования, производства бетона и производства кирпича</w:t>
            </w:r>
          </w:p>
        </w:tc>
        <w:tc>
          <w:tcPr>
            <w:tcW w:w="8222" w:type="dxa"/>
          </w:tcPr>
          <w:p w:rsidR="00B67EE5" w:rsidRPr="00F46D6A" w:rsidRDefault="00B67EE5"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Строительный рынок является </w:t>
            </w:r>
            <w:proofErr w:type="spellStart"/>
            <w:r w:rsidRPr="00F46D6A">
              <w:rPr>
                <w:rFonts w:ascii="Times New Roman" w:eastAsiaTheme="minorHAnsi" w:hAnsi="Times New Roman"/>
                <w:lang w:eastAsia="en-US"/>
              </w:rPr>
              <w:t>высококонкурентным</w:t>
            </w:r>
            <w:proofErr w:type="spellEnd"/>
            <w:r w:rsidRPr="00F46D6A">
              <w:rPr>
                <w:rFonts w:ascii="Times New Roman" w:eastAsiaTheme="minorHAnsi" w:hAnsi="Times New Roman"/>
                <w:lang w:eastAsia="en-US"/>
              </w:rPr>
              <w:t>. Строительный комплекс представлен 2220 строительными организациями, в том числе-76 крупные и средние, 242-малые предприятия, 1902- микро предприятия.</w:t>
            </w:r>
          </w:p>
          <w:p w:rsidR="00BB6863" w:rsidRPr="00F46D6A" w:rsidRDefault="00B67EE5"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На рынке услуг архитектурно-строительного проектирования отсутствуют государственные и муниципальные организации.</w:t>
            </w:r>
            <w:proofErr w:type="gramEnd"/>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1.4.</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Обеспечение информационной открытости для субъектов предпринимательской деятельности в сфере производства строительных материалов и конструкций по вопросам оказания государственной поддержки в целях модернизации производства</w:t>
            </w:r>
          </w:p>
        </w:tc>
        <w:tc>
          <w:tcPr>
            <w:tcW w:w="8222" w:type="dxa"/>
          </w:tcPr>
          <w:p w:rsidR="00B67EE5" w:rsidRPr="00F46D6A" w:rsidRDefault="00B67EE5"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Министерством ведется постоянная работа по мониторингу производственной деятельности крупных и средних организаций строительного комплекса республики.  Предприятиями строительного комплекса в </w:t>
            </w:r>
            <w:proofErr w:type="gramStart"/>
            <w:r w:rsidRPr="00F46D6A">
              <w:rPr>
                <w:rFonts w:ascii="Times New Roman" w:eastAsiaTheme="minorHAnsi" w:hAnsi="Times New Roman"/>
                <w:lang w:eastAsia="en-US"/>
              </w:rPr>
              <w:t>целях</w:t>
            </w:r>
            <w:proofErr w:type="gramEnd"/>
            <w:r w:rsidRPr="00F46D6A">
              <w:rPr>
                <w:rFonts w:ascii="Times New Roman" w:eastAsiaTheme="minorHAnsi" w:hAnsi="Times New Roman"/>
                <w:lang w:eastAsia="en-US"/>
              </w:rPr>
              <w:t xml:space="preserve"> выпуска конкурентоспособных современных строительных материалов ведутся                          работы по модернизации производств, внедрению прогрессивных технологий.           </w:t>
            </w:r>
          </w:p>
          <w:p w:rsidR="00BB6863" w:rsidRPr="00F46D6A" w:rsidRDefault="00B67EE5"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АО «СЗ «ТУС» осуществляется строительство административно-бытового корпуса и монтажа комплекса технологического оборудования с целью изготовления горячей асфальтобетонной смеси, филиалом  АО «СЗ «ТУС» - Завод «</w:t>
            </w:r>
            <w:proofErr w:type="spellStart"/>
            <w:r w:rsidRPr="00F46D6A">
              <w:rPr>
                <w:rFonts w:ascii="Times New Roman" w:eastAsiaTheme="minorHAnsi" w:hAnsi="Times New Roman"/>
                <w:lang w:eastAsia="en-US"/>
              </w:rPr>
              <w:t>Кетра</w:t>
            </w:r>
            <w:proofErr w:type="spellEnd"/>
            <w:r w:rsidRPr="00F46D6A">
              <w:rPr>
                <w:rFonts w:ascii="Times New Roman" w:eastAsiaTheme="minorHAnsi" w:hAnsi="Times New Roman"/>
                <w:lang w:eastAsia="en-US"/>
              </w:rPr>
              <w:t xml:space="preserve">» запущена линия по подготовке и переработке трепела, осуществляется строительство производственного цеха и оснащение его технологическим </w:t>
            </w:r>
            <w:r w:rsidRPr="00F46D6A">
              <w:rPr>
                <w:rFonts w:ascii="Times New Roman" w:eastAsiaTheme="minorHAnsi" w:hAnsi="Times New Roman"/>
                <w:lang w:eastAsia="en-US"/>
              </w:rPr>
              <w:lastRenderedPageBreak/>
              <w:t>оборудованием с целью организации переработки трепелов,  ЗАО  ССК «Чебоксарский» введен в эксплуатацию формовочный цех, цех керамзитобетонных изделий, стенд с изометрическим чехлом.</w:t>
            </w:r>
            <w:proofErr w:type="gramEnd"/>
          </w:p>
        </w:tc>
      </w:tr>
      <w:tr w:rsidR="00BB6863" w:rsidRPr="00F46D6A" w:rsidTr="00FD2237">
        <w:tc>
          <w:tcPr>
            <w:tcW w:w="15843" w:type="dxa"/>
            <w:gridSpan w:val="3"/>
          </w:tcPr>
          <w:p w:rsidR="00BB6863" w:rsidRPr="00F46D6A" w:rsidRDefault="009A2200" w:rsidP="00497BAC">
            <w:pPr>
              <w:pStyle w:val="a3"/>
              <w:tabs>
                <w:tab w:val="left" w:pos="1162"/>
              </w:tabs>
              <w:spacing w:line="0" w:lineRule="atLeast"/>
              <w:ind w:left="0" w:firstLine="709"/>
              <w:jc w:val="center"/>
              <w:rPr>
                <w:rFonts w:ascii="Times New Roman" w:eastAsiaTheme="minorHAnsi" w:hAnsi="Times New Roman"/>
                <w:lang w:eastAsia="en-US"/>
              </w:rPr>
            </w:pPr>
            <w:r w:rsidRPr="00F46D6A">
              <w:rPr>
                <w:rFonts w:ascii="Times New Roman" w:eastAsiaTheme="minorHAnsi" w:hAnsi="Times New Roman"/>
                <w:lang w:eastAsia="en-US"/>
              </w:rPr>
              <w:lastRenderedPageBreak/>
              <w:t>2. Мероприятия по содействию развитию конкуренции на рынках услуг жилищно-коммунального хозяйства и транспортирования твердых коммунальных отходов</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2.1.</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Мониторинг размещения в сети «Интернет», в том числе на официальных сайтах субъектов естественных монополий, информации о свободных резервах мощности объектов коммунальной инфраструктуры (электр</w:t>
            </w:r>
            <w:proofErr w:type="gramStart"/>
            <w:r w:rsidRPr="00F46D6A">
              <w:rPr>
                <w:rFonts w:ascii="Times New Roman" w:eastAsiaTheme="minorHAnsi" w:hAnsi="Times New Roman"/>
                <w:lang w:eastAsia="en-US"/>
              </w:rPr>
              <w:t>о-</w:t>
            </w:r>
            <w:proofErr w:type="gramEnd"/>
            <w:r w:rsidRPr="00F46D6A">
              <w:rPr>
                <w:rFonts w:ascii="Times New Roman" w:eastAsiaTheme="minorHAnsi" w:hAnsi="Times New Roman"/>
                <w:lang w:eastAsia="en-US"/>
              </w:rPr>
              <w:t>, газо-, тепло- и водоснабжения, водоотведения), а также о планируемых сроках строительства и реконструкции объектов коммунальной инфраструктуры в соответствии с законодательством Российской Федерации согласно утвержденным инвестиционным программам субъектов естественных монополий, а также обеспечения ее доступности и наглядности</w:t>
            </w:r>
          </w:p>
          <w:p w:rsidR="00BB6863" w:rsidRPr="00F46D6A" w:rsidRDefault="00BB6863" w:rsidP="00497BAC">
            <w:pPr>
              <w:pStyle w:val="a3"/>
              <w:tabs>
                <w:tab w:val="left" w:pos="1162"/>
              </w:tabs>
              <w:spacing w:line="0" w:lineRule="atLeast"/>
              <w:ind w:left="0" w:firstLine="318"/>
              <w:jc w:val="both"/>
              <w:rPr>
                <w:rFonts w:ascii="Times New Roman" w:eastAsiaTheme="minorHAnsi" w:hAnsi="Times New Roman"/>
                <w:lang w:eastAsia="en-US"/>
              </w:rPr>
            </w:pPr>
          </w:p>
        </w:tc>
        <w:tc>
          <w:tcPr>
            <w:tcW w:w="8222" w:type="dxa"/>
          </w:tcPr>
          <w:p w:rsidR="0055650B" w:rsidRPr="00F46D6A" w:rsidRDefault="0055650B"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На официальных сайтах </w:t>
            </w:r>
            <w:proofErr w:type="spellStart"/>
            <w:r w:rsidRPr="00F46D6A">
              <w:rPr>
                <w:rFonts w:ascii="Times New Roman" w:eastAsiaTheme="minorHAnsi" w:hAnsi="Times New Roman"/>
                <w:lang w:eastAsia="en-US"/>
              </w:rPr>
              <w:t>ресурсоснабжающих</w:t>
            </w:r>
            <w:proofErr w:type="spellEnd"/>
            <w:r w:rsidRPr="00F46D6A">
              <w:rPr>
                <w:rFonts w:ascii="Times New Roman" w:eastAsiaTheme="minorHAnsi" w:hAnsi="Times New Roman"/>
                <w:lang w:eastAsia="en-US"/>
              </w:rPr>
              <w:t xml:space="preserve"> организаций, осуществляющих деятельность на территории Чувашской Республики информация о свободных резервах мощности объектов коммунальной инфраструктуры (электр</w:t>
            </w:r>
            <w:proofErr w:type="gramStart"/>
            <w:r w:rsidRPr="00F46D6A">
              <w:rPr>
                <w:rFonts w:ascii="Times New Roman" w:eastAsiaTheme="minorHAnsi" w:hAnsi="Times New Roman"/>
                <w:lang w:eastAsia="en-US"/>
              </w:rPr>
              <w:t>о-</w:t>
            </w:r>
            <w:proofErr w:type="gramEnd"/>
            <w:r w:rsidRPr="00F46D6A">
              <w:rPr>
                <w:rFonts w:ascii="Times New Roman" w:eastAsiaTheme="minorHAnsi" w:hAnsi="Times New Roman"/>
                <w:lang w:eastAsia="en-US"/>
              </w:rPr>
              <w:t>, газо-, тепло- и водоснабжения, водоотведения) размещена.</w:t>
            </w:r>
          </w:p>
          <w:p w:rsidR="0055650B" w:rsidRPr="00F46D6A" w:rsidRDefault="0055650B"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 xml:space="preserve">В соответствии  с действующим законодательством Российской Федерации и Чувашской Республики приказы об утверждении инвестиционных программ, с приложением самих инвестиционных программ, содержащих в том числе сроки выполнения работ по строительству, реконструкции и (или) модернизации систем теплоснабжения, водоснабжения и (или) водоотведения, размещены в </w:t>
            </w:r>
            <w:r w:rsidR="009848D1" w:rsidRPr="00F46D6A">
              <w:rPr>
                <w:rFonts w:ascii="Times New Roman" w:eastAsiaTheme="minorHAnsi" w:hAnsi="Times New Roman"/>
                <w:lang w:eastAsia="en-US"/>
              </w:rPr>
              <w:t xml:space="preserve">информационно-телекоммуникационной </w:t>
            </w:r>
            <w:r w:rsidRPr="00F46D6A">
              <w:rPr>
                <w:rFonts w:ascii="Times New Roman" w:eastAsiaTheme="minorHAnsi" w:hAnsi="Times New Roman"/>
                <w:lang w:eastAsia="en-US"/>
              </w:rPr>
              <w:t>сети «Интернет» на официальн</w:t>
            </w:r>
            <w:r w:rsidR="009848D1" w:rsidRPr="00F46D6A">
              <w:rPr>
                <w:rFonts w:ascii="Times New Roman" w:eastAsiaTheme="minorHAnsi" w:hAnsi="Times New Roman"/>
                <w:lang w:eastAsia="en-US"/>
              </w:rPr>
              <w:t>ом</w:t>
            </w:r>
            <w:r w:rsidRPr="00F46D6A">
              <w:rPr>
                <w:rFonts w:ascii="Times New Roman" w:eastAsiaTheme="minorHAnsi" w:hAnsi="Times New Roman"/>
                <w:lang w:eastAsia="en-US"/>
              </w:rPr>
              <w:t xml:space="preserve"> сайт</w:t>
            </w:r>
            <w:r w:rsidR="009848D1" w:rsidRPr="00F46D6A">
              <w:rPr>
                <w:rFonts w:ascii="Times New Roman" w:eastAsiaTheme="minorHAnsi" w:hAnsi="Times New Roman"/>
                <w:lang w:eastAsia="en-US"/>
              </w:rPr>
              <w:t xml:space="preserve">е Минстроя Чувашии и </w:t>
            </w:r>
            <w:r w:rsidRPr="00F46D6A">
              <w:rPr>
                <w:rFonts w:ascii="Times New Roman" w:eastAsiaTheme="minorHAnsi" w:hAnsi="Times New Roman"/>
                <w:lang w:eastAsia="en-US"/>
              </w:rPr>
              <w:t xml:space="preserve"> </w:t>
            </w:r>
            <w:proofErr w:type="spellStart"/>
            <w:r w:rsidRPr="00F46D6A">
              <w:rPr>
                <w:rFonts w:ascii="Times New Roman" w:eastAsiaTheme="minorHAnsi" w:hAnsi="Times New Roman"/>
                <w:lang w:eastAsia="en-US"/>
              </w:rPr>
              <w:t>ресурсоснабжающих</w:t>
            </w:r>
            <w:proofErr w:type="spellEnd"/>
            <w:r w:rsidRPr="00F46D6A">
              <w:rPr>
                <w:rFonts w:ascii="Times New Roman" w:eastAsiaTheme="minorHAnsi" w:hAnsi="Times New Roman"/>
                <w:lang w:eastAsia="en-US"/>
              </w:rPr>
              <w:t xml:space="preserve"> организаций. </w:t>
            </w:r>
            <w:proofErr w:type="gramEnd"/>
          </w:p>
          <w:p w:rsidR="00413F88" w:rsidRPr="00F46D6A" w:rsidRDefault="00413F88" w:rsidP="00413F88">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В 2020 году на территории Чувашской Республики фактически реализовывались 8 инвестиционных программ, утвержденные Минстроем Чувашии:</w:t>
            </w:r>
          </w:p>
          <w:p w:rsidR="00413F88" w:rsidRPr="00F46D6A" w:rsidRDefault="00413F88" w:rsidP="00413F88">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- 4 инвестиционные программы в сфере водоснабжения и водоотведения                          (ГУП ЧР «БОС» Минстроя Чувашии «Реконструкция биологических очистных сооружений города Новочебоксарска на 2015-2021 годы»; АО «Водоканал» по развитию муниципальных систем водоснабжения и водоотведения города Чебоксары на 2018-2020 годы; МУП «Коммунальные сети города Новочебоксарска» по развитию муниципальных систем водоснабжения и водоотведения города Новочебоксарска Чувашской Республики на 2015-2023 годы;</w:t>
            </w:r>
            <w:proofErr w:type="gramEnd"/>
            <w:r w:rsidRPr="00F46D6A">
              <w:rPr>
                <w:rFonts w:ascii="Times New Roman" w:eastAsiaTheme="minorHAnsi" w:hAnsi="Times New Roman"/>
                <w:lang w:eastAsia="en-US"/>
              </w:rPr>
              <w:t xml:space="preserve"> </w:t>
            </w:r>
            <w:proofErr w:type="gramStart"/>
            <w:r w:rsidRPr="00F46D6A">
              <w:rPr>
                <w:rFonts w:ascii="Times New Roman" w:eastAsiaTheme="minorHAnsi" w:hAnsi="Times New Roman"/>
                <w:lang w:eastAsia="en-US"/>
              </w:rPr>
              <w:t>МУП «Водоканал» МО город Канаш «Развитие систем холодного водоснабжения МУП «Водоканал» МО город Канаш Чувашской Республики на 2018-2020 годы»);</w:t>
            </w:r>
            <w:proofErr w:type="gramEnd"/>
          </w:p>
          <w:p w:rsidR="00413F88" w:rsidRPr="00F46D6A" w:rsidRDefault="00413F88" w:rsidP="00413F88">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- 4 инвестиционные программы в сфере теплоснабжения (МУП «Теплосеть» МО города Чебоксары – столицы Чувашской Республики по развитию тепловых сетей в городе Чебоксары на 2020-2022 годы; МУП «Коммунальные сети города Новочебоксарска» по развитию муниципальных систем теплоснабжения города Новочебоксарска на 2020-2024 годы; МП «УК ЖКХ» МО «город Канаш Чувашской Республики»; МП «ДЕЗ ЖКХ Ибресинского района» Чувашской Республики).</w:t>
            </w:r>
            <w:proofErr w:type="gramEnd"/>
          </w:p>
          <w:p w:rsidR="00BB6863" w:rsidRPr="00F46D6A" w:rsidRDefault="00BB6863" w:rsidP="001A597C">
            <w:pPr>
              <w:pStyle w:val="a3"/>
              <w:tabs>
                <w:tab w:val="left" w:pos="1162"/>
              </w:tabs>
              <w:ind w:left="0"/>
              <w:jc w:val="both"/>
              <w:rPr>
                <w:rFonts w:ascii="Times New Roman" w:eastAsiaTheme="minorHAnsi" w:hAnsi="Times New Roman"/>
                <w:lang w:eastAsia="en-US"/>
              </w:rPr>
            </w:pP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2.2.</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Проведение мониторинга удовлетворения заявок субъектов предпринимательской </w:t>
            </w:r>
            <w:proofErr w:type="gramStart"/>
            <w:r w:rsidRPr="00F46D6A">
              <w:rPr>
                <w:rFonts w:ascii="Times New Roman" w:eastAsiaTheme="minorHAnsi" w:hAnsi="Times New Roman"/>
                <w:lang w:eastAsia="en-US"/>
              </w:rPr>
              <w:t>деятельности</w:t>
            </w:r>
            <w:proofErr w:type="gramEnd"/>
            <w:r w:rsidRPr="00F46D6A">
              <w:rPr>
                <w:rFonts w:ascii="Times New Roman" w:eastAsiaTheme="minorHAnsi" w:hAnsi="Times New Roman"/>
                <w:lang w:eastAsia="en-US"/>
              </w:rPr>
              <w:t xml:space="preserve"> о подключении вновь создаваемых производств к сетям инженерной инфраструктуры</w:t>
            </w:r>
          </w:p>
        </w:tc>
        <w:tc>
          <w:tcPr>
            <w:tcW w:w="8222" w:type="dxa"/>
          </w:tcPr>
          <w:p w:rsidR="00BB6863" w:rsidRPr="00F46D6A" w:rsidRDefault="006E0D0C"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Госслужбой в целях определения эффективности тарифного регулирования осуществляется ежеквартальный мониторинг фактических расходов и доходов по мероприятиям, осуществляемым при технологическом присоединении к электрическим сетям, к системам теплоснабжения, холодного водоснабжения и водоотведения, к газораспределительным сетям АО «Газпром».</w:t>
            </w:r>
            <w:proofErr w:type="gramEnd"/>
            <w:r w:rsidRPr="00F46D6A">
              <w:rPr>
                <w:rFonts w:ascii="Times New Roman" w:eastAsiaTheme="minorHAnsi" w:hAnsi="Times New Roman"/>
                <w:lang w:eastAsia="en-US"/>
              </w:rPr>
              <w:t xml:space="preserve"> Информация по </w:t>
            </w:r>
            <w:r w:rsidRPr="00F46D6A">
              <w:rPr>
                <w:rFonts w:ascii="Times New Roman" w:eastAsiaTheme="minorHAnsi" w:hAnsi="Times New Roman"/>
                <w:lang w:eastAsia="en-US"/>
              </w:rPr>
              <w:lastRenderedPageBreak/>
              <w:t xml:space="preserve">исполнению заявок субъектов предпринимательской </w:t>
            </w:r>
            <w:proofErr w:type="gramStart"/>
            <w:r w:rsidRPr="00F46D6A">
              <w:rPr>
                <w:rFonts w:ascii="Times New Roman" w:eastAsiaTheme="minorHAnsi" w:hAnsi="Times New Roman"/>
                <w:lang w:eastAsia="en-US"/>
              </w:rPr>
              <w:t>деятельности</w:t>
            </w:r>
            <w:proofErr w:type="gramEnd"/>
            <w:r w:rsidRPr="00F46D6A">
              <w:rPr>
                <w:rFonts w:ascii="Times New Roman" w:eastAsiaTheme="minorHAnsi" w:hAnsi="Times New Roman"/>
                <w:lang w:eastAsia="en-US"/>
              </w:rPr>
              <w:t xml:space="preserve"> о подключении вновь создаваемых производств к сетям инженерной инфраструктуры в рамках ежеквартальных отчетов регулируемыми организациями не предоставляется.</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lastRenderedPageBreak/>
              <w:t>2.3.</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Мониторинг результатов фактического выполнения инвестиционных программ  и планов ремонтных работ ресурсоснабжающими организациями в сфере электр</w:t>
            </w:r>
            <w:proofErr w:type="gramStart"/>
            <w:r w:rsidRPr="00F46D6A">
              <w:rPr>
                <w:rFonts w:ascii="Times New Roman" w:eastAsiaTheme="minorHAnsi" w:hAnsi="Times New Roman"/>
                <w:lang w:eastAsia="en-US"/>
              </w:rPr>
              <w:t>о-</w:t>
            </w:r>
            <w:proofErr w:type="gramEnd"/>
            <w:r w:rsidRPr="00F46D6A">
              <w:rPr>
                <w:rFonts w:ascii="Times New Roman" w:eastAsiaTheme="minorHAnsi" w:hAnsi="Times New Roman"/>
                <w:lang w:eastAsia="en-US"/>
              </w:rPr>
              <w:t>, газо- тепло-, водоснабжения, водоотведения, организациями в сфере обращения с твердыми коммунальными отходами</w:t>
            </w:r>
          </w:p>
        </w:tc>
        <w:tc>
          <w:tcPr>
            <w:tcW w:w="8222" w:type="dxa"/>
          </w:tcPr>
          <w:p w:rsidR="0055650B" w:rsidRPr="00F46D6A" w:rsidRDefault="0055650B"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В </w:t>
            </w:r>
            <w:proofErr w:type="gramStart"/>
            <w:r w:rsidRPr="00F46D6A">
              <w:rPr>
                <w:rFonts w:ascii="Times New Roman" w:eastAsiaTheme="minorHAnsi" w:hAnsi="Times New Roman"/>
                <w:lang w:eastAsia="en-US"/>
              </w:rPr>
              <w:t>рамках</w:t>
            </w:r>
            <w:proofErr w:type="gramEnd"/>
            <w:r w:rsidRPr="00F46D6A">
              <w:rPr>
                <w:rFonts w:ascii="Times New Roman" w:eastAsiaTheme="minorHAnsi" w:hAnsi="Times New Roman"/>
                <w:lang w:eastAsia="en-US"/>
              </w:rPr>
              <w:t xml:space="preserve"> действующего законодательства  Минстроем Чувашии осуществляется контроль за выполнением инвестиционных программ организаций, осуществляющих регулируемые виды деятельности в сфере теплоснабжения, водоснабжения и водоотведения.</w:t>
            </w:r>
          </w:p>
          <w:p w:rsidR="0055650B" w:rsidRPr="00F46D6A" w:rsidRDefault="0055650B"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В соответствии с действующим законодательством 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за 2020 год в сфере водоснабжения и водоотведения в срок до 15 мая 202</w:t>
            </w:r>
            <w:r w:rsidR="00007382">
              <w:rPr>
                <w:rFonts w:ascii="Times New Roman" w:eastAsiaTheme="minorHAnsi" w:hAnsi="Times New Roman"/>
                <w:lang w:eastAsia="en-US"/>
              </w:rPr>
              <w:t>1</w:t>
            </w:r>
            <w:r w:rsidRPr="00F46D6A">
              <w:rPr>
                <w:rFonts w:ascii="Times New Roman" w:eastAsiaTheme="minorHAnsi" w:hAnsi="Times New Roman"/>
                <w:lang w:eastAsia="en-US"/>
              </w:rPr>
              <w:t xml:space="preserve"> г., в сфере теплоснабжения в срок до 20 апреля 202</w:t>
            </w:r>
            <w:r w:rsidR="00007382">
              <w:rPr>
                <w:rFonts w:ascii="Times New Roman" w:eastAsiaTheme="minorHAnsi" w:hAnsi="Times New Roman"/>
                <w:lang w:eastAsia="en-US"/>
              </w:rPr>
              <w:t>1</w:t>
            </w:r>
            <w:r w:rsidRPr="00F46D6A">
              <w:rPr>
                <w:rFonts w:ascii="Times New Roman" w:eastAsiaTheme="minorHAnsi" w:hAnsi="Times New Roman"/>
                <w:lang w:eastAsia="en-US"/>
              </w:rPr>
              <w:t xml:space="preserve"> года, в связи с чем, информация о фактическом выполнении инвестиционных программ за 2020 год будет</w:t>
            </w:r>
            <w:proofErr w:type="gramEnd"/>
            <w:r w:rsidRPr="00F46D6A">
              <w:rPr>
                <w:rFonts w:ascii="Times New Roman" w:eastAsiaTheme="minorHAnsi" w:hAnsi="Times New Roman"/>
                <w:lang w:eastAsia="en-US"/>
              </w:rPr>
              <w:t xml:space="preserve"> </w:t>
            </w:r>
            <w:proofErr w:type="gramStart"/>
            <w:r w:rsidRPr="00F46D6A">
              <w:rPr>
                <w:rFonts w:ascii="Times New Roman" w:eastAsiaTheme="minorHAnsi" w:hAnsi="Times New Roman"/>
                <w:lang w:eastAsia="en-US"/>
              </w:rPr>
              <w:t>представлена</w:t>
            </w:r>
            <w:proofErr w:type="gramEnd"/>
            <w:r w:rsidRPr="00F46D6A">
              <w:rPr>
                <w:rFonts w:ascii="Times New Roman" w:eastAsiaTheme="minorHAnsi" w:hAnsi="Times New Roman"/>
                <w:lang w:eastAsia="en-US"/>
              </w:rPr>
              <w:t xml:space="preserve"> после получения отчетов в вышеуказанный срок.  </w:t>
            </w:r>
            <w:r w:rsidR="00F46D6A">
              <w:rPr>
                <w:rFonts w:ascii="Times New Roman" w:eastAsiaTheme="minorHAnsi" w:hAnsi="Times New Roman"/>
                <w:lang w:eastAsia="en-US"/>
              </w:rPr>
              <w:t>В связи с вышеизложенным и</w:t>
            </w:r>
            <w:r w:rsidR="00F46D6A" w:rsidRPr="00F46D6A">
              <w:rPr>
                <w:rFonts w:ascii="Times New Roman" w:eastAsiaTheme="minorHAnsi" w:hAnsi="Times New Roman"/>
                <w:lang w:eastAsia="en-US"/>
              </w:rPr>
              <w:t>нформация предоставляется по результатам мониторинга за 9 месяцев 2020 года.</w:t>
            </w:r>
          </w:p>
          <w:p w:rsidR="0055650B" w:rsidRPr="00F46D6A" w:rsidRDefault="0055650B"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По представленной организациями, реализующими инвестиционные программы, информации выполнение по инвестиционным программам за 9 месяцев  2020  года составило:</w:t>
            </w:r>
          </w:p>
          <w:p w:rsidR="0055650B" w:rsidRPr="00F46D6A" w:rsidRDefault="0055650B"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в сфере водоснабжения и водоотведения – 156,28 млн. руб. или 51,3% от предусмотренных средств на 2020 год в сумме 304,75 млн. руб.</w:t>
            </w:r>
          </w:p>
          <w:p w:rsidR="0055650B" w:rsidRPr="00F46D6A" w:rsidRDefault="0055650B"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в сфере теплоснабжения – 108,39 млн. руб. или 84,1% от предусмотренных средств на 2020 год в сумме 128,95 млн. рублей, в том числе.</w:t>
            </w:r>
          </w:p>
          <w:p w:rsidR="0055650B" w:rsidRDefault="0055650B"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Отчеты о выполнение инвестиционных программ в сфере водоснабжения, водоотведения и теплоснабжения размещены на официальном сайте Минстроя Чувашии.</w:t>
            </w:r>
          </w:p>
          <w:p w:rsidR="00CE2D03" w:rsidRPr="00CE2D03" w:rsidRDefault="00CE2D03" w:rsidP="00CE2D03">
            <w:pPr>
              <w:autoSpaceDE w:val="0"/>
              <w:autoSpaceDN w:val="0"/>
              <w:adjustRightInd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Кроме того </w:t>
            </w:r>
            <w:r w:rsidR="00462FD9">
              <w:rPr>
                <w:rFonts w:ascii="Times New Roman" w:eastAsia="Times New Roman" w:hAnsi="Times New Roman" w:cs="Times New Roman"/>
                <w:sz w:val="24"/>
                <w:szCs w:val="24"/>
              </w:rPr>
              <w:t>в</w:t>
            </w:r>
            <w:r w:rsidRPr="00CE2D03">
              <w:rPr>
                <w:rFonts w:ascii="Times New Roman" w:eastAsia="Times New Roman" w:hAnsi="Times New Roman" w:cs="Times New Roman"/>
                <w:sz w:val="24"/>
                <w:szCs w:val="24"/>
              </w:rPr>
              <w:t xml:space="preserve"> 2020 год</w:t>
            </w:r>
            <w:r w:rsidR="00462FD9">
              <w:rPr>
                <w:rFonts w:ascii="Times New Roman" w:eastAsia="Times New Roman" w:hAnsi="Times New Roman" w:cs="Times New Roman"/>
                <w:sz w:val="24"/>
                <w:szCs w:val="24"/>
              </w:rPr>
              <w:t xml:space="preserve">у действовали </w:t>
            </w:r>
            <w:r w:rsidRPr="00CE2D03">
              <w:rPr>
                <w:rFonts w:ascii="Times New Roman" w:eastAsia="Times New Roman" w:hAnsi="Times New Roman" w:cs="Times New Roman"/>
                <w:sz w:val="24"/>
                <w:szCs w:val="24"/>
              </w:rPr>
              <w:t xml:space="preserve">18 инвестиционных программ организаций в сфере электроэнергетики </w:t>
            </w:r>
            <w:r w:rsidR="00462FD9">
              <w:rPr>
                <w:rFonts w:ascii="Times New Roman" w:eastAsia="Times New Roman" w:hAnsi="Times New Roman" w:cs="Times New Roman"/>
                <w:sz w:val="24"/>
                <w:szCs w:val="24"/>
              </w:rPr>
              <w:t>(и</w:t>
            </w:r>
            <w:r w:rsidRPr="00CE2D03">
              <w:rPr>
                <w:rFonts w:ascii="Times New Roman" w:eastAsia="Times New Roman" w:hAnsi="Times New Roman" w:cs="Times New Roman"/>
                <w:sz w:val="24"/>
                <w:szCs w:val="24"/>
              </w:rPr>
              <w:t>з запланированных мероприятий на сумму 732 648,90 тыс. руб., фактически выполнено на 511 531,19 тыс. руб., освоение составило 69,82 %</w:t>
            </w:r>
            <w:r w:rsidR="00462FD9">
              <w:rPr>
                <w:rFonts w:ascii="Times New Roman" w:eastAsia="Times New Roman" w:hAnsi="Times New Roman" w:cs="Times New Roman"/>
                <w:sz w:val="24"/>
                <w:szCs w:val="24"/>
              </w:rPr>
              <w:t xml:space="preserve">) и </w:t>
            </w:r>
            <w:r w:rsidRPr="00CE2D03">
              <w:rPr>
                <w:rFonts w:ascii="Times New Roman" w:eastAsia="Times New Roman" w:hAnsi="Times New Roman" w:cs="Times New Roman"/>
                <w:sz w:val="24"/>
                <w:szCs w:val="24"/>
              </w:rPr>
              <w:t xml:space="preserve">1 инвестиционная программа </w:t>
            </w:r>
            <w:proofErr w:type="spellStart"/>
            <w:r w:rsidRPr="00CE2D03">
              <w:rPr>
                <w:rFonts w:ascii="Times New Roman" w:eastAsia="Times New Roman" w:hAnsi="Times New Roman" w:cs="Times New Roman"/>
                <w:sz w:val="24"/>
                <w:szCs w:val="24"/>
              </w:rPr>
              <w:t>ресурсоснабжающей</w:t>
            </w:r>
            <w:proofErr w:type="spellEnd"/>
            <w:r w:rsidRPr="00CE2D03">
              <w:rPr>
                <w:rFonts w:ascii="Times New Roman" w:eastAsia="Times New Roman" w:hAnsi="Times New Roman" w:cs="Times New Roman"/>
                <w:sz w:val="24"/>
                <w:szCs w:val="24"/>
              </w:rPr>
              <w:t xml:space="preserve"> организации в сфере обращения с твердыми коммунальными отходами </w:t>
            </w:r>
            <w:r w:rsidR="00007382">
              <w:rPr>
                <w:rFonts w:ascii="Times New Roman" w:eastAsia="Times New Roman" w:hAnsi="Times New Roman" w:cs="Times New Roman"/>
                <w:sz w:val="24"/>
                <w:szCs w:val="24"/>
              </w:rPr>
              <w:t>(</w:t>
            </w:r>
            <w:r w:rsidRPr="00CE2D03">
              <w:rPr>
                <w:rFonts w:ascii="Times New Roman" w:eastAsia="Times New Roman" w:hAnsi="Times New Roman" w:cs="Times New Roman"/>
                <w:sz w:val="24"/>
                <w:szCs w:val="24"/>
              </w:rPr>
              <w:t xml:space="preserve">фактически выполнена на сумму 154 911,37 тыс. руб. </w:t>
            </w:r>
            <w:r w:rsidR="00462FD9">
              <w:rPr>
                <w:rFonts w:ascii="Times New Roman" w:eastAsia="Times New Roman" w:hAnsi="Times New Roman" w:cs="Times New Roman"/>
                <w:sz w:val="24"/>
                <w:szCs w:val="24"/>
              </w:rPr>
              <w:t xml:space="preserve"> </w:t>
            </w:r>
            <w:r w:rsidRPr="00CE2D03">
              <w:rPr>
                <w:rFonts w:ascii="Times New Roman" w:eastAsia="Times New Roman" w:hAnsi="Times New Roman" w:cs="Times New Roman"/>
                <w:sz w:val="24"/>
                <w:szCs w:val="24"/>
              </w:rPr>
              <w:t>из запланированных  250 133,91 тыс. руб., освоение</w:t>
            </w:r>
            <w:proofErr w:type="gramEnd"/>
            <w:r w:rsidRPr="00CE2D03">
              <w:rPr>
                <w:rFonts w:ascii="Times New Roman" w:eastAsia="Times New Roman" w:hAnsi="Times New Roman" w:cs="Times New Roman"/>
                <w:sz w:val="24"/>
                <w:szCs w:val="24"/>
              </w:rPr>
              <w:t xml:space="preserve"> – 61,93%</w:t>
            </w:r>
            <w:r w:rsidR="00462FD9">
              <w:rPr>
                <w:rFonts w:ascii="Times New Roman" w:eastAsia="Times New Roman" w:hAnsi="Times New Roman" w:cs="Times New Roman"/>
                <w:sz w:val="24"/>
                <w:szCs w:val="24"/>
              </w:rPr>
              <w:t>)</w:t>
            </w:r>
            <w:r w:rsidRPr="00CE2D03">
              <w:rPr>
                <w:rFonts w:ascii="Times New Roman" w:eastAsia="Times New Roman" w:hAnsi="Times New Roman" w:cs="Times New Roman"/>
                <w:sz w:val="24"/>
                <w:szCs w:val="24"/>
              </w:rPr>
              <w:t>.</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За 9 месяцев 2020 года </w:t>
            </w:r>
            <w:proofErr w:type="gramStart"/>
            <w:r w:rsidRPr="00F46D6A">
              <w:rPr>
                <w:rFonts w:ascii="Times New Roman" w:eastAsiaTheme="minorHAnsi" w:hAnsi="Times New Roman" w:cstheme="minorBidi"/>
                <w:sz w:val="22"/>
                <w:szCs w:val="22"/>
                <w:lang w:eastAsia="en-US"/>
              </w:rPr>
              <w:t>проведены</w:t>
            </w:r>
            <w:proofErr w:type="gramEnd"/>
            <w:r w:rsidRPr="00F46D6A">
              <w:rPr>
                <w:rFonts w:ascii="Times New Roman" w:eastAsiaTheme="minorHAnsi" w:hAnsi="Times New Roman" w:cstheme="minorBidi"/>
                <w:sz w:val="22"/>
                <w:szCs w:val="22"/>
                <w:lang w:eastAsia="en-US"/>
              </w:rPr>
              <w:t xml:space="preserve"> ремонтные работы в:</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- 63 </w:t>
            </w:r>
            <w:proofErr w:type="spellStart"/>
            <w:r w:rsidRPr="00F46D6A">
              <w:rPr>
                <w:rFonts w:ascii="Times New Roman" w:eastAsiaTheme="minorHAnsi" w:hAnsi="Times New Roman" w:cstheme="minorBidi"/>
                <w:sz w:val="22"/>
                <w:szCs w:val="22"/>
                <w:lang w:eastAsia="en-US"/>
              </w:rPr>
              <w:t>ресурсоснабжающих</w:t>
            </w:r>
            <w:proofErr w:type="spellEnd"/>
            <w:r w:rsidRPr="00F46D6A">
              <w:rPr>
                <w:rFonts w:ascii="Times New Roman" w:eastAsiaTheme="minorHAnsi" w:hAnsi="Times New Roman" w:cstheme="minorBidi"/>
                <w:sz w:val="22"/>
                <w:szCs w:val="22"/>
                <w:lang w:eastAsia="en-US"/>
              </w:rPr>
              <w:t xml:space="preserve"> </w:t>
            </w:r>
            <w:proofErr w:type="gramStart"/>
            <w:r w:rsidRPr="00F46D6A">
              <w:rPr>
                <w:rFonts w:ascii="Times New Roman" w:eastAsiaTheme="minorHAnsi" w:hAnsi="Times New Roman" w:cstheme="minorBidi"/>
                <w:sz w:val="22"/>
                <w:szCs w:val="22"/>
                <w:lang w:eastAsia="en-US"/>
              </w:rPr>
              <w:t>организациях</w:t>
            </w:r>
            <w:proofErr w:type="gramEnd"/>
            <w:r w:rsidRPr="00F46D6A">
              <w:rPr>
                <w:rFonts w:ascii="Times New Roman" w:eastAsiaTheme="minorHAnsi" w:hAnsi="Times New Roman" w:cstheme="minorBidi"/>
                <w:sz w:val="22"/>
                <w:szCs w:val="22"/>
                <w:lang w:eastAsia="en-US"/>
              </w:rPr>
              <w:t xml:space="preserve"> в сфере теплоснабжения. На данные работы было запланировано 633195,13 тыс. руб., фактически выполнено 393575,45 тыс. руб., освоение составило 62,16%.</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- 52 </w:t>
            </w:r>
            <w:proofErr w:type="spellStart"/>
            <w:r w:rsidRPr="00F46D6A">
              <w:rPr>
                <w:rFonts w:ascii="Times New Roman" w:eastAsiaTheme="minorHAnsi" w:hAnsi="Times New Roman" w:cstheme="minorBidi"/>
                <w:sz w:val="22"/>
                <w:szCs w:val="22"/>
                <w:lang w:eastAsia="en-US"/>
              </w:rPr>
              <w:t>ресурсоснабжающих</w:t>
            </w:r>
            <w:proofErr w:type="spellEnd"/>
            <w:r w:rsidRPr="00F46D6A">
              <w:rPr>
                <w:rFonts w:ascii="Times New Roman" w:eastAsiaTheme="minorHAnsi" w:hAnsi="Times New Roman" w:cstheme="minorBidi"/>
                <w:sz w:val="22"/>
                <w:szCs w:val="22"/>
                <w:lang w:eastAsia="en-US"/>
              </w:rPr>
              <w:t xml:space="preserve"> </w:t>
            </w:r>
            <w:proofErr w:type="gramStart"/>
            <w:r w:rsidRPr="00F46D6A">
              <w:rPr>
                <w:rFonts w:ascii="Times New Roman" w:eastAsiaTheme="minorHAnsi" w:hAnsi="Times New Roman" w:cstheme="minorBidi"/>
                <w:sz w:val="22"/>
                <w:szCs w:val="22"/>
                <w:lang w:eastAsia="en-US"/>
              </w:rPr>
              <w:t>организациях</w:t>
            </w:r>
            <w:proofErr w:type="gramEnd"/>
            <w:r w:rsidRPr="00F46D6A">
              <w:rPr>
                <w:rFonts w:ascii="Times New Roman" w:eastAsiaTheme="minorHAnsi" w:hAnsi="Times New Roman" w:cstheme="minorBidi"/>
                <w:sz w:val="22"/>
                <w:szCs w:val="22"/>
                <w:lang w:eastAsia="en-US"/>
              </w:rPr>
              <w:t xml:space="preserve"> в сфере водоснабжения. На данные работы было запланировано 56006,92 тыс. руб., фактически выполнено 45725,17 тыс. руб., </w:t>
            </w:r>
            <w:r w:rsidRPr="00F46D6A">
              <w:rPr>
                <w:rFonts w:ascii="Times New Roman" w:eastAsiaTheme="minorHAnsi" w:hAnsi="Times New Roman" w:cstheme="minorBidi"/>
                <w:sz w:val="22"/>
                <w:szCs w:val="22"/>
                <w:lang w:eastAsia="en-US"/>
              </w:rPr>
              <w:lastRenderedPageBreak/>
              <w:t>освоение составило 81,64%;</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- 42 </w:t>
            </w:r>
            <w:proofErr w:type="spellStart"/>
            <w:r w:rsidRPr="00F46D6A">
              <w:rPr>
                <w:rFonts w:ascii="Times New Roman" w:eastAsiaTheme="minorHAnsi" w:hAnsi="Times New Roman" w:cstheme="minorBidi"/>
                <w:sz w:val="22"/>
                <w:szCs w:val="22"/>
                <w:lang w:eastAsia="en-US"/>
              </w:rPr>
              <w:t>ресурсоснабжающих</w:t>
            </w:r>
            <w:proofErr w:type="spellEnd"/>
            <w:r w:rsidRPr="00F46D6A">
              <w:rPr>
                <w:rFonts w:ascii="Times New Roman" w:eastAsiaTheme="minorHAnsi" w:hAnsi="Times New Roman" w:cstheme="minorBidi"/>
                <w:sz w:val="22"/>
                <w:szCs w:val="22"/>
                <w:lang w:eastAsia="en-US"/>
              </w:rPr>
              <w:t xml:space="preserve"> организациях в сфере водоотведения на </w:t>
            </w:r>
            <w:proofErr w:type="gramStart"/>
            <w:r w:rsidRPr="00F46D6A">
              <w:rPr>
                <w:rFonts w:ascii="Times New Roman" w:eastAsiaTheme="minorHAnsi" w:hAnsi="Times New Roman" w:cstheme="minorBidi"/>
                <w:sz w:val="22"/>
                <w:szCs w:val="22"/>
                <w:lang w:eastAsia="en-US"/>
              </w:rPr>
              <w:t>ремонтные</w:t>
            </w:r>
            <w:proofErr w:type="gramEnd"/>
            <w:r w:rsidRPr="00F46D6A">
              <w:rPr>
                <w:rFonts w:ascii="Times New Roman" w:eastAsiaTheme="minorHAnsi" w:hAnsi="Times New Roman" w:cstheme="minorBidi"/>
                <w:sz w:val="22"/>
                <w:szCs w:val="22"/>
                <w:lang w:eastAsia="en-US"/>
              </w:rPr>
              <w:t xml:space="preserve"> работы было запланировано 39554,62 тыс. руб., фактически выполнено 34474,19 тыс. руб., освоение составило 87,16%;</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- 14 </w:t>
            </w:r>
            <w:proofErr w:type="gramStart"/>
            <w:r w:rsidRPr="00F46D6A">
              <w:rPr>
                <w:rFonts w:ascii="Times New Roman" w:eastAsiaTheme="minorHAnsi" w:hAnsi="Times New Roman" w:cstheme="minorBidi"/>
                <w:sz w:val="22"/>
                <w:szCs w:val="22"/>
                <w:lang w:eastAsia="en-US"/>
              </w:rPr>
              <w:t>организациях</w:t>
            </w:r>
            <w:proofErr w:type="gramEnd"/>
            <w:r w:rsidRPr="00F46D6A">
              <w:rPr>
                <w:rFonts w:ascii="Times New Roman" w:eastAsiaTheme="minorHAnsi" w:hAnsi="Times New Roman" w:cstheme="minorBidi"/>
                <w:sz w:val="22"/>
                <w:szCs w:val="22"/>
                <w:lang w:eastAsia="en-US"/>
              </w:rPr>
              <w:t xml:space="preserve"> в сфере обращения с твердыми коммунальными отходами на ремонтные работы было запланировано 11758,42 тыс. руб., фактически выполнено 7867,06 тыс. руб., освоение составило 66,91%;</w:t>
            </w:r>
          </w:p>
          <w:p w:rsidR="00BB6863" w:rsidRPr="00F46D6A" w:rsidRDefault="006E0D0C" w:rsidP="00CA1DDD">
            <w:pPr>
              <w:pStyle w:val="aa"/>
              <w:jc w:val="both"/>
              <w:rPr>
                <w:rFonts w:ascii="Times New Roman" w:eastAsiaTheme="minorHAnsi" w:hAnsi="Times New Roman"/>
                <w:lang w:eastAsia="en-US"/>
              </w:rPr>
            </w:pPr>
            <w:r w:rsidRPr="00F46D6A">
              <w:rPr>
                <w:rFonts w:ascii="Times New Roman" w:eastAsiaTheme="minorHAnsi" w:hAnsi="Times New Roman" w:cstheme="minorBidi"/>
                <w:sz w:val="22"/>
                <w:szCs w:val="22"/>
                <w:lang w:eastAsia="en-US"/>
              </w:rPr>
              <w:t xml:space="preserve">- 32 </w:t>
            </w:r>
            <w:proofErr w:type="spellStart"/>
            <w:r w:rsidRPr="00F46D6A">
              <w:rPr>
                <w:rFonts w:ascii="Times New Roman" w:eastAsiaTheme="minorHAnsi" w:hAnsi="Times New Roman" w:cstheme="minorBidi"/>
                <w:sz w:val="22"/>
                <w:szCs w:val="22"/>
                <w:lang w:eastAsia="en-US"/>
              </w:rPr>
              <w:t>ресурсоснабжающих</w:t>
            </w:r>
            <w:proofErr w:type="spellEnd"/>
            <w:r w:rsidRPr="00F46D6A">
              <w:rPr>
                <w:rFonts w:ascii="Times New Roman" w:eastAsiaTheme="minorHAnsi" w:hAnsi="Times New Roman" w:cstheme="minorBidi"/>
                <w:sz w:val="22"/>
                <w:szCs w:val="22"/>
                <w:lang w:eastAsia="en-US"/>
              </w:rPr>
              <w:t xml:space="preserve"> </w:t>
            </w:r>
            <w:proofErr w:type="gramStart"/>
            <w:r w:rsidRPr="00F46D6A">
              <w:rPr>
                <w:rFonts w:ascii="Times New Roman" w:eastAsiaTheme="minorHAnsi" w:hAnsi="Times New Roman" w:cstheme="minorBidi"/>
                <w:sz w:val="22"/>
                <w:szCs w:val="22"/>
                <w:lang w:eastAsia="en-US"/>
              </w:rPr>
              <w:t>организациях</w:t>
            </w:r>
            <w:proofErr w:type="gramEnd"/>
            <w:r w:rsidRPr="00F46D6A">
              <w:rPr>
                <w:rFonts w:ascii="Times New Roman" w:eastAsiaTheme="minorHAnsi" w:hAnsi="Times New Roman" w:cstheme="minorBidi"/>
                <w:sz w:val="22"/>
                <w:szCs w:val="22"/>
                <w:lang w:eastAsia="en-US"/>
              </w:rPr>
              <w:t xml:space="preserve"> в сфере электроснабжения на ремонтные работы было запланировано 252 765,33 тыс. руб., фактически выполнено 189 416,00 тыс. руб., освоение составило 74,94%.</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lastRenderedPageBreak/>
              <w:t>2.4.</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Обеспечение информационной открытости сферы жилищно-коммунального хозяйства при эксплуатации государственной информационной системы жилищно-коммунального хозяйства в соответствии с Федеральным </w:t>
            </w:r>
            <w:hyperlink r:id="rId7" w:history="1">
              <w:r w:rsidRPr="00F46D6A">
                <w:rPr>
                  <w:rFonts w:ascii="Times New Roman" w:eastAsiaTheme="minorHAnsi" w:hAnsi="Times New Roman"/>
                  <w:lang w:eastAsia="en-US"/>
                </w:rPr>
                <w:t>законом</w:t>
              </w:r>
            </w:hyperlink>
            <w:r w:rsidRPr="00F46D6A">
              <w:rPr>
                <w:rFonts w:ascii="Times New Roman" w:eastAsiaTheme="minorHAnsi" w:hAnsi="Times New Roman"/>
                <w:lang w:eastAsia="en-US"/>
              </w:rPr>
              <w:t xml:space="preserve"> "О государственной информационной системе жилищно-коммунального хозяйства"</w:t>
            </w:r>
          </w:p>
        </w:tc>
        <w:tc>
          <w:tcPr>
            <w:tcW w:w="8222" w:type="dxa"/>
          </w:tcPr>
          <w:p w:rsidR="00363160" w:rsidRPr="00F46D6A" w:rsidRDefault="00363160"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По состоянию на 15.01.202</w:t>
            </w:r>
            <w:r w:rsidR="00007382">
              <w:rPr>
                <w:rFonts w:ascii="Times New Roman" w:eastAsiaTheme="minorHAnsi" w:hAnsi="Times New Roman"/>
                <w:lang w:eastAsia="en-US"/>
              </w:rPr>
              <w:t>1</w:t>
            </w:r>
            <w:r w:rsidRPr="00F46D6A">
              <w:rPr>
                <w:rFonts w:ascii="Times New Roman" w:eastAsiaTheme="minorHAnsi" w:hAnsi="Times New Roman"/>
                <w:lang w:eastAsia="en-US"/>
              </w:rPr>
              <w:t xml:space="preserve"> г. по Чувашской Республике в ГИС ЖКХ зарегистрировано 973 поставщиков информации, из них 680 – организации, осуществляющие управление многоквартирными домами (100%), 128 – </w:t>
            </w:r>
            <w:proofErr w:type="spellStart"/>
            <w:r w:rsidRPr="00F46D6A">
              <w:rPr>
                <w:rFonts w:ascii="Times New Roman" w:eastAsiaTheme="minorHAnsi" w:hAnsi="Times New Roman"/>
                <w:lang w:eastAsia="en-US"/>
              </w:rPr>
              <w:t>ресурсоснабжающие</w:t>
            </w:r>
            <w:proofErr w:type="spellEnd"/>
            <w:r w:rsidRPr="00F46D6A">
              <w:rPr>
                <w:rFonts w:ascii="Times New Roman" w:eastAsiaTheme="minorHAnsi" w:hAnsi="Times New Roman"/>
                <w:lang w:eastAsia="en-US"/>
              </w:rPr>
              <w:t xml:space="preserve"> организации (100%), 156 – органы местного самоуправления (100%), 7 – органы государственной власти субъекта РФ (100%), 1 – региональный оператор по обращению с твердыми коммунальными отходами (100%),                        1 – региональный оператор капитального ремонта (100%).</w:t>
            </w:r>
            <w:proofErr w:type="gramEnd"/>
          </w:p>
          <w:p w:rsidR="00363160" w:rsidRPr="00F46D6A" w:rsidRDefault="00363160"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В ГИС ЖКХ размещена информация по 5641 многоквартирному дому, а также по домам блокированной застройки, всего 8,2 тыс.(100%); информация о наличии 2,2 млн. приборов учета (100%), из них 26,8 тыс. общедомовых приборов учета (100%), 2,1 млн. индивидуальных приборов учета (100%); 2,5 млн. лицевых счетов (100%), 1,7 млн. платежных документов на оплату жилищно-коммунальных услуг (67,83%).</w:t>
            </w:r>
            <w:proofErr w:type="gramEnd"/>
          </w:p>
          <w:p w:rsidR="00363160" w:rsidRPr="00F46D6A" w:rsidRDefault="00363160"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В </w:t>
            </w:r>
            <w:proofErr w:type="gramStart"/>
            <w:r w:rsidRPr="00F46D6A">
              <w:rPr>
                <w:rFonts w:ascii="Times New Roman" w:eastAsiaTheme="minorHAnsi" w:hAnsi="Times New Roman"/>
                <w:lang w:eastAsia="en-US"/>
              </w:rPr>
              <w:t>целях</w:t>
            </w:r>
            <w:proofErr w:type="gramEnd"/>
            <w:r w:rsidRPr="00F46D6A">
              <w:rPr>
                <w:rFonts w:ascii="Times New Roman" w:eastAsiaTheme="minorHAnsi" w:hAnsi="Times New Roman"/>
                <w:lang w:eastAsia="en-US"/>
              </w:rPr>
              <w:t xml:space="preserve"> принятия мер по обеспечению исполнения требований к раскрытию информации организациями, осуществляющими управление многоквартирными домами, </w:t>
            </w:r>
            <w:proofErr w:type="spellStart"/>
            <w:r w:rsidRPr="00F46D6A">
              <w:rPr>
                <w:rFonts w:ascii="Times New Roman" w:eastAsiaTheme="minorHAnsi" w:hAnsi="Times New Roman"/>
                <w:lang w:eastAsia="en-US"/>
              </w:rPr>
              <w:t>Госжилинспекцией</w:t>
            </w:r>
            <w:proofErr w:type="spellEnd"/>
            <w:r w:rsidRPr="00F46D6A">
              <w:rPr>
                <w:rFonts w:ascii="Times New Roman" w:eastAsiaTheme="minorHAnsi" w:hAnsi="Times New Roman"/>
                <w:lang w:eastAsia="en-US"/>
              </w:rPr>
              <w:t xml:space="preserve"> Чувашии проводятся проверки соблюдения требований поставщиками к размещению информации в ГИС ЖКХ.  В 2020 году по фактам выявления нарушений требований к раскрытию информации возбуждено 16 дел об административном правонарушении, предусмотренном ч.2 ст.13.19.2 КоАП РФ, по </w:t>
            </w:r>
            <w:proofErr w:type="gramStart"/>
            <w:r w:rsidRPr="00F46D6A">
              <w:rPr>
                <w:rFonts w:ascii="Times New Roman" w:eastAsiaTheme="minorHAnsi" w:hAnsi="Times New Roman"/>
                <w:lang w:eastAsia="en-US"/>
              </w:rPr>
              <w:t>результатам</w:t>
            </w:r>
            <w:proofErr w:type="gramEnd"/>
            <w:r w:rsidRPr="00F46D6A">
              <w:rPr>
                <w:rFonts w:ascii="Times New Roman" w:eastAsiaTheme="minorHAnsi" w:hAnsi="Times New Roman"/>
                <w:lang w:eastAsia="en-US"/>
              </w:rPr>
              <w:t xml:space="preserve"> рассмотрения которых должностные и юридические лица привлечены к административной ответственности.</w:t>
            </w:r>
          </w:p>
          <w:p w:rsidR="00BB6863" w:rsidRPr="00F46D6A" w:rsidRDefault="00363160" w:rsidP="00F94909">
            <w:pPr>
              <w:pStyle w:val="a3"/>
              <w:tabs>
                <w:tab w:val="left" w:pos="1162"/>
              </w:tabs>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Работа в данном </w:t>
            </w:r>
            <w:proofErr w:type="gramStart"/>
            <w:r w:rsidRPr="00F46D6A">
              <w:rPr>
                <w:rFonts w:ascii="Times New Roman" w:eastAsiaTheme="minorHAnsi" w:hAnsi="Times New Roman"/>
                <w:lang w:eastAsia="en-US"/>
              </w:rPr>
              <w:t>направлении</w:t>
            </w:r>
            <w:proofErr w:type="gramEnd"/>
            <w:r w:rsidRPr="00F46D6A">
              <w:rPr>
                <w:rFonts w:ascii="Times New Roman" w:eastAsiaTheme="minorHAnsi" w:hAnsi="Times New Roman"/>
                <w:lang w:eastAsia="en-US"/>
              </w:rPr>
              <w:t xml:space="preserve"> </w:t>
            </w:r>
            <w:proofErr w:type="spellStart"/>
            <w:r w:rsidRPr="00F46D6A">
              <w:rPr>
                <w:rFonts w:ascii="Times New Roman" w:eastAsiaTheme="minorHAnsi" w:hAnsi="Times New Roman"/>
                <w:lang w:eastAsia="en-US"/>
              </w:rPr>
              <w:t>Госжилинспекцией</w:t>
            </w:r>
            <w:proofErr w:type="spellEnd"/>
            <w:r w:rsidRPr="00F46D6A">
              <w:rPr>
                <w:rFonts w:ascii="Times New Roman" w:eastAsiaTheme="minorHAnsi" w:hAnsi="Times New Roman"/>
                <w:lang w:eastAsia="en-US"/>
              </w:rPr>
              <w:t xml:space="preserve"> Чувашии продолжается.</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Госслужбой за 2020 год в государственной информационной системе жилищно-коммунального хозяйства размещена информация:</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об утвержденных производственных программах лиц, осуществляющих поставки ресурсов, необходимых для предоставления коммунальных услуг, в многоквартирные дома, жилые дома в количестве;</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о результатах исполнения производственных программ лиц, осуществляющих поставки ресурсов, необходимых для предоставления коммунальных услуг, в многоквартирные дома, жилые дома в количестве;</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lastRenderedPageBreak/>
              <w:t>- об утвержденных инвестиционных программах лиц, осуществляющих поставки ресурсов, необходимых для предоставления коммунальных услуг, в многоквартирные дома, жилые дома, а также результаты их исполнения в количестве;</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о ценах, тарифах, установленных на ресурсы в количестве;</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 -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roofErr w:type="gramStart"/>
            <w:r w:rsidRPr="00F46D6A">
              <w:rPr>
                <w:rFonts w:ascii="Times New Roman" w:eastAsiaTheme="minorHAnsi" w:hAnsi="Times New Roman" w:cstheme="minorBidi"/>
                <w:sz w:val="22"/>
                <w:szCs w:val="22"/>
                <w:lang w:eastAsia="en-US"/>
              </w:rPr>
              <w:t>.</w:t>
            </w:r>
            <w:proofErr w:type="gramEnd"/>
            <w:r w:rsidRPr="00F46D6A">
              <w:rPr>
                <w:rFonts w:ascii="Times New Roman" w:eastAsiaTheme="minorHAnsi" w:hAnsi="Times New Roman" w:cstheme="minorBidi"/>
                <w:sz w:val="22"/>
                <w:szCs w:val="22"/>
                <w:lang w:eastAsia="en-US"/>
              </w:rPr>
              <w:t xml:space="preserve"> </w:t>
            </w:r>
            <w:proofErr w:type="gramStart"/>
            <w:r w:rsidRPr="00F46D6A">
              <w:rPr>
                <w:rFonts w:ascii="Times New Roman" w:eastAsiaTheme="minorHAnsi" w:hAnsi="Times New Roman" w:cstheme="minorBidi"/>
                <w:sz w:val="22"/>
                <w:szCs w:val="22"/>
                <w:lang w:eastAsia="en-US"/>
              </w:rPr>
              <w:t>в</w:t>
            </w:r>
            <w:proofErr w:type="gramEnd"/>
            <w:r w:rsidRPr="00F46D6A">
              <w:rPr>
                <w:rFonts w:ascii="Times New Roman" w:eastAsiaTheme="minorHAnsi" w:hAnsi="Times New Roman" w:cstheme="minorBidi"/>
                <w:sz w:val="22"/>
                <w:szCs w:val="22"/>
                <w:lang w:eastAsia="en-US"/>
              </w:rPr>
              <w:t xml:space="preserve"> количестве;</w:t>
            </w:r>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xml:space="preserve"> </w:t>
            </w:r>
            <w:proofErr w:type="gramStart"/>
            <w:r w:rsidRPr="00F46D6A">
              <w:rPr>
                <w:rFonts w:ascii="Times New Roman" w:eastAsiaTheme="minorHAnsi" w:hAnsi="Times New Roman" w:cstheme="minorBidi"/>
                <w:sz w:val="22"/>
                <w:szCs w:val="22"/>
                <w:lang w:eastAsia="en-US"/>
              </w:rPr>
              <w:t>- о случаях привлечения лиц, осуществляющих деятельность по поставке ресурсов, необходимых для предоставления коммунальных услуг, в многоквартирные дома, жилые дома,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 в количестве;</w:t>
            </w:r>
            <w:proofErr w:type="gramEnd"/>
          </w:p>
          <w:p w:rsidR="006E0D0C" w:rsidRPr="00F46D6A" w:rsidRDefault="006E0D0C" w:rsidP="00F94909">
            <w:pPr>
              <w:pStyle w:val="aa"/>
              <w:jc w:val="both"/>
              <w:rPr>
                <w:rFonts w:ascii="Times New Roman" w:eastAsiaTheme="minorHAnsi" w:hAnsi="Times New Roman" w:cstheme="minorBidi"/>
                <w:sz w:val="22"/>
                <w:szCs w:val="22"/>
                <w:lang w:eastAsia="en-US"/>
              </w:rPr>
            </w:pPr>
            <w:r w:rsidRPr="00F46D6A">
              <w:rPr>
                <w:rFonts w:ascii="Times New Roman" w:eastAsiaTheme="minorHAnsi" w:hAnsi="Times New Roman" w:cstheme="minorBidi"/>
                <w:sz w:val="22"/>
                <w:szCs w:val="22"/>
                <w:lang w:eastAsia="en-US"/>
              </w:rPr>
              <w:t>- об исполнении постановления по делу об административном правонарушении (дата уплаты административного штрафа);</w:t>
            </w:r>
          </w:p>
          <w:p w:rsidR="006E0D0C" w:rsidRPr="00F46D6A" w:rsidRDefault="006E0D0C" w:rsidP="00F94909">
            <w:pPr>
              <w:pStyle w:val="aa"/>
              <w:jc w:val="both"/>
              <w:rPr>
                <w:rFonts w:ascii="Times New Roman" w:eastAsiaTheme="minorHAnsi" w:hAnsi="Times New Roman"/>
                <w:lang w:eastAsia="en-US"/>
              </w:rPr>
            </w:pPr>
            <w:r w:rsidRPr="00F46D6A">
              <w:rPr>
                <w:rFonts w:ascii="Times New Roman" w:eastAsiaTheme="minorHAnsi" w:hAnsi="Times New Roman" w:cstheme="minorBidi"/>
                <w:sz w:val="22"/>
                <w:szCs w:val="22"/>
                <w:lang w:eastAsia="en-US"/>
              </w:rPr>
              <w:t>-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lastRenderedPageBreak/>
              <w:t>2.5.</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Проведение разъяснительной работы по нормам жилищного законодательства среди населения (встречи с жильцами, выпуск информационных листков, публикации в средствах массовой информации)</w:t>
            </w:r>
          </w:p>
        </w:tc>
        <w:tc>
          <w:tcPr>
            <w:tcW w:w="8222" w:type="dxa"/>
          </w:tcPr>
          <w:p w:rsidR="00363160" w:rsidRPr="00F46D6A" w:rsidRDefault="00363160" w:rsidP="00F94909">
            <w:pPr>
              <w:pStyle w:val="a3"/>
              <w:tabs>
                <w:tab w:val="left" w:pos="1162"/>
              </w:tabs>
              <w:ind w:left="0"/>
              <w:jc w:val="both"/>
              <w:rPr>
                <w:rFonts w:ascii="Times New Roman" w:eastAsiaTheme="minorHAnsi" w:hAnsi="Times New Roman"/>
                <w:lang w:eastAsia="en-US"/>
              </w:rPr>
            </w:pPr>
            <w:proofErr w:type="spellStart"/>
            <w:proofErr w:type="gramStart"/>
            <w:r w:rsidRPr="00F46D6A">
              <w:rPr>
                <w:rFonts w:ascii="Times New Roman" w:eastAsiaTheme="minorHAnsi" w:hAnsi="Times New Roman"/>
                <w:lang w:eastAsia="en-US"/>
              </w:rPr>
              <w:t>Госжилинспекцией</w:t>
            </w:r>
            <w:proofErr w:type="spellEnd"/>
            <w:r w:rsidRPr="00F46D6A">
              <w:rPr>
                <w:rFonts w:ascii="Times New Roman" w:eastAsiaTheme="minorHAnsi" w:hAnsi="Times New Roman"/>
                <w:lang w:eastAsia="en-US"/>
              </w:rPr>
              <w:t xml:space="preserve"> Чувашии проводится информационно - разъяснительная работа среди населения по вопросам прав и обязанностей потребителей коммунальных услуг, об установленных тарифах на коммунальные услуги, а также об установленных предельных (максимальных) индексах изменения размера вносимой гражданами платы за коммунальные услуги в 2020 году путем размещения информации на официальных сайтах органов исполнительной власти, органов местного самоуправления, в местных печатных изданиях, в ответах, направляемых гражданам</w:t>
            </w:r>
            <w:proofErr w:type="gramEnd"/>
            <w:r w:rsidRPr="00F46D6A">
              <w:rPr>
                <w:rFonts w:ascii="Times New Roman" w:eastAsiaTheme="minorHAnsi" w:hAnsi="Times New Roman"/>
                <w:lang w:eastAsia="en-US"/>
              </w:rPr>
              <w:t xml:space="preserve"> при рассмотрении их обращений, а также в ходе личных встреч с жителями муниципальных районов и городских округов.</w:t>
            </w:r>
          </w:p>
          <w:p w:rsidR="00BB6863" w:rsidRPr="00F46D6A" w:rsidRDefault="00363160" w:rsidP="00F94909">
            <w:pPr>
              <w:pStyle w:val="a3"/>
              <w:tabs>
                <w:tab w:val="left" w:pos="1162"/>
              </w:tabs>
              <w:ind w:left="0"/>
              <w:jc w:val="both"/>
              <w:rPr>
                <w:rFonts w:ascii="Times New Roman" w:eastAsiaTheme="minorHAnsi" w:hAnsi="Times New Roman"/>
                <w:lang w:eastAsia="en-US"/>
              </w:rPr>
            </w:pPr>
            <w:proofErr w:type="gramStart"/>
            <w:r w:rsidRPr="00F46D6A">
              <w:rPr>
                <w:rFonts w:ascii="Times New Roman" w:eastAsiaTheme="minorHAnsi" w:hAnsi="Times New Roman"/>
                <w:lang w:eastAsia="en-US"/>
              </w:rPr>
              <w:t xml:space="preserve">Для информирования населения Чувашской Республики по нормам жилищного законодательства </w:t>
            </w:r>
            <w:proofErr w:type="spellStart"/>
            <w:r w:rsidRPr="00F46D6A">
              <w:rPr>
                <w:rFonts w:ascii="Times New Roman" w:eastAsiaTheme="minorHAnsi" w:hAnsi="Times New Roman"/>
                <w:lang w:eastAsia="en-US"/>
              </w:rPr>
              <w:t>Госжилинспекцией</w:t>
            </w:r>
            <w:proofErr w:type="spellEnd"/>
            <w:r w:rsidRPr="00F46D6A">
              <w:rPr>
                <w:rFonts w:ascii="Times New Roman" w:eastAsiaTheme="minorHAnsi" w:hAnsi="Times New Roman"/>
                <w:lang w:eastAsia="en-US"/>
              </w:rPr>
              <w:t xml:space="preserve"> Чувашии: были проведены: брифинг по вопросу перехода на новую систему обращений с ТКО на территории Чувашской Республики, круглый стол по вопросу перехода на новую систему ТКО на НТРК ЧР, участие во Всероссийском экологическом форуме «Чистая страна» (г. Челябинск), </w:t>
            </w:r>
            <w:r w:rsidRPr="00F46D6A">
              <w:rPr>
                <w:rFonts w:ascii="Times New Roman" w:eastAsiaTheme="minorHAnsi" w:hAnsi="Times New Roman"/>
                <w:lang w:eastAsia="en-US"/>
              </w:rPr>
              <w:lastRenderedPageBreak/>
              <w:t xml:space="preserve">радиопередача «Открытая студия» (НТРК) по вопросам заключения прямых договоров с </w:t>
            </w:r>
            <w:proofErr w:type="spellStart"/>
            <w:r w:rsidRPr="00F46D6A">
              <w:rPr>
                <w:rFonts w:ascii="Times New Roman" w:eastAsiaTheme="minorHAnsi" w:hAnsi="Times New Roman"/>
                <w:lang w:eastAsia="en-US"/>
              </w:rPr>
              <w:t>ресурсоснабжающими</w:t>
            </w:r>
            <w:proofErr w:type="spellEnd"/>
            <w:r w:rsidRPr="00F46D6A">
              <w:rPr>
                <w:rFonts w:ascii="Times New Roman" w:eastAsiaTheme="minorHAnsi" w:hAnsi="Times New Roman"/>
                <w:lang w:eastAsia="en-US"/>
              </w:rPr>
              <w:t xml:space="preserve"> организациями</w:t>
            </w:r>
            <w:proofErr w:type="gramEnd"/>
            <w:r w:rsidRPr="00F46D6A">
              <w:rPr>
                <w:rFonts w:ascii="Times New Roman" w:eastAsiaTheme="minorHAnsi" w:hAnsi="Times New Roman"/>
                <w:lang w:eastAsia="en-US"/>
              </w:rPr>
              <w:t>, интервью газете «Советская Чувашия», телефонные прямые линии с газетами «Советская Чувашия», «</w:t>
            </w:r>
            <w:proofErr w:type="spellStart"/>
            <w:r w:rsidRPr="00F46D6A">
              <w:rPr>
                <w:rFonts w:ascii="Times New Roman" w:eastAsiaTheme="minorHAnsi" w:hAnsi="Times New Roman"/>
                <w:lang w:eastAsia="en-US"/>
              </w:rPr>
              <w:t>Хыпар</w:t>
            </w:r>
            <w:proofErr w:type="spellEnd"/>
            <w:r w:rsidRPr="00F46D6A">
              <w:rPr>
                <w:rFonts w:ascii="Times New Roman" w:eastAsiaTheme="minorHAnsi" w:hAnsi="Times New Roman"/>
                <w:lang w:eastAsia="en-US"/>
              </w:rPr>
              <w:t>», «Грани»,  обсуждение новой системы обращения с ТКО в рамках единого информационного дня в г. Шумерля.</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lastRenderedPageBreak/>
              <w:t>2.6.</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Проведение независимой оценки удовлетворенности граждан качеством услуг на рынке жилищно-коммунального хозяйства и размещение ее результатов на официальном сайте Минстроя Чувашии на Портале органов власти Чувашской Республики в сети "Интернет"</w:t>
            </w:r>
          </w:p>
        </w:tc>
        <w:tc>
          <w:tcPr>
            <w:tcW w:w="8222" w:type="dxa"/>
          </w:tcPr>
          <w:p w:rsidR="00F84E3F" w:rsidRPr="00F46D6A" w:rsidRDefault="00F84E3F" w:rsidP="00F84E3F">
            <w:pPr>
              <w:tabs>
                <w:tab w:val="left" w:pos="1162"/>
              </w:tabs>
              <w:jc w:val="both"/>
              <w:rPr>
                <w:rFonts w:ascii="Times New Roman" w:eastAsiaTheme="minorHAnsi" w:hAnsi="Times New Roman"/>
                <w:lang w:eastAsia="en-US"/>
              </w:rPr>
            </w:pPr>
            <w:r w:rsidRPr="00F46D6A">
              <w:rPr>
                <w:rFonts w:ascii="Times New Roman" w:eastAsiaTheme="minorHAnsi" w:hAnsi="Times New Roman"/>
                <w:lang w:eastAsia="en-US"/>
              </w:rPr>
              <w:t>За 2020 год независимая оценка удовлетворенности граждан качеством услуг на рынке жилищно-коммунального хозяйства не проводилась.</w:t>
            </w:r>
          </w:p>
          <w:p w:rsidR="00BB6863" w:rsidRPr="00F46D6A" w:rsidRDefault="00F84E3F" w:rsidP="00F84E3F">
            <w:pPr>
              <w:tabs>
                <w:tab w:val="left" w:pos="1162"/>
              </w:tabs>
              <w:jc w:val="both"/>
              <w:rPr>
                <w:rFonts w:ascii="Times New Roman" w:eastAsiaTheme="minorHAnsi" w:hAnsi="Times New Roman"/>
                <w:lang w:eastAsia="en-US"/>
              </w:rPr>
            </w:pPr>
            <w:r w:rsidRPr="00F46D6A">
              <w:rPr>
                <w:rFonts w:ascii="Times New Roman" w:eastAsiaTheme="minorHAnsi" w:hAnsi="Times New Roman"/>
                <w:lang w:eastAsia="en-US"/>
              </w:rPr>
              <w:t>Доля управляющих организаций частной формы собственности в общем числе управляющих организаций в 2020 году составила 98 %.</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2.7.</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Развитие сектора организаций частной формы собственности, осуществляющих работы по благоустройству</w:t>
            </w:r>
          </w:p>
        </w:tc>
        <w:tc>
          <w:tcPr>
            <w:tcW w:w="8222" w:type="dxa"/>
          </w:tcPr>
          <w:p w:rsidR="00BB6863" w:rsidRPr="00F46D6A" w:rsidRDefault="00614CE8" w:rsidP="00F94909">
            <w:pPr>
              <w:tabs>
                <w:tab w:val="left" w:pos="1162"/>
              </w:tabs>
              <w:jc w:val="both"/>
              <w:rPr>
                <w:rFonts w:ascii="Times New Roman" w:eastAsiaTheme="minorHAnsi" w:hAnsi="Times New Roman"/>
                <w:lang w:eastAsia="en-US"/>
              </w:rPr>
            </w:pPr>
            <w:r w:rsidRPr="00F46D6A">
              <w:rPr>
                <w:rFonts w:ascii="Times New Roman" w:eastAsiaTheme="minorHAnsi" w:hAnsi="Times New Roman"/>
                <w:lang w:eastAsia="en-US"/>
              </w:rPr>
              <w:t>В 2020 году в рамках реализации регионального проекта «Формирование комфортной городской среды» 55 организаций выполняли работы  по благоустройству территорий, из них 98,2% организаций частной формы собственности.</w:t>
            </w:r>
          </w:p>
        </w:tc>
      </w:tr>
      <w:tr w:rsidR="00BB6863" w:rsidRPr="00F46D6A" w:rsidTr="00FD2237">
        <w:tc>
          <w:tcPr>
            <w:tcW w:w="675" w:type="dxa"/>
          </w:tcPr>
          <w:p w:rsidR="00BB6863" w:rsidRPr="00F46D6A" w:rsidRDefault="00BB6863" w:rsidP="00497BAC">
            <w:pPr>
              <w:pStyle w:val="a3"/>
              <w:tabs>
                <w:tab w:val="left" w:pos="1162"/>
              </w:tabs>
              <w:spacing w:line="0" w:lineRule="atLeast"/>
              <w:ind w:left="0"/>
              <w:jc w:val="right"/>
              <w:rPr>
                <w:rFonts w:ascii="Times New Roman" w:eastAsiaTheme="minorHAnsi" w:hAnsi="Times New Roman"/>
                <w:lang w:eastAsia="en-US"/>
              </w:rPr>
            </w:pPr>
            <w:r w:rsidRPr="00F46D6A">
              <w:rPr>
                <w:rFonts w:ascii="Times New Roman" w:eastAsiaTheme="minorHAnsi" w:hAnsi="Times New Roman"/>
                <w:lang w:eastAsia="en-US"/>
              </w:rPr>
              <w:t>2.8.</w:t>
            </w:r>
          </w:p>
        </w:tc>
        <w:tc>
          <w:tcPr>
            <w:tcW w:w="6946" w:type="dxa"/>
          </w:tcPr>
          <w:p w:rsidR="00BB6863" w:rsidRPr="00F46D6A" w:rsidRDefault="00BB6863" w:rsidP="00BE5C05">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Развитие сектора организаций частной формы собственности, эксплуатирующих объекты, предназначенные для обработки, утилизации, обезвреживания, размещения твердых коммунальных отходов, которые используют указанные объекты на праве частной собственности, по договору аренды или концессионному соглашению</w:t>
            </w:r>
          </w:p>
        </w:tc>
        <w:tc>
          <w:tcPr>
            <w:tcW w:w="8222" w:type="dxa"/>
          </w:tcPr>
          <w:p w:rsidR="00BB6863" w:rsidRPr="00F46D6A" w:rsidRDefault="003905BD" w:rsidP="003905BD">
            <w:pPr>
              <w:tabs>
                <w:tab w:val="left" w:pos="1162"/>
              </w:tabs>
              <w:jc w:val="both"/>
              <w:rPr>
                <w:rFonts w:ascii="Times New Roman" w:eastAsiaTheme="minorHAnsi" w:hAnsi="Times New Roman"/>
                <w:lang w:eastAsia="en-US"/>
              </w:rPr>
            </w:pPr>
            <w:r w:rsidRPr="00F46D6A">
              <w:rPr>
                <w:rFonts w:ascii="Times New Roman" w:eastAsiaTheme="minorHAnsi" w:hAnsi="Times New Roman"/>
                <w:lang w:eastAsia="en-US"/>
              </w:rPr>
              <w:t>По концессионному соглашению АО «Управление отходами в 2018 году завершил строительство 2-й карты складирования полигона захоронения ТБО мощностью не менее 100 тыс. т. в год в г. Новочебоксарск. Объе</w:t>
            </w:r>
            <w:proofErr w:type="gramStart"/>
            <w:r w:rsidRPr="00F46D6A">
              <w:rPr>
                <w:rFonts w:ascii="Times New Roman" w:eastAsiaTheme="minorHAnsi" w:hAnsi="Times New Roman"/>
                <w:lang w:eastAsia="en-US"/>
              </w:rPr>
              <w:t>кт стр</w:t>
            </w:r>
            <w:proofErr w:type="gramEnd"/>
            <w:r w:rsidRPr="00F46D6A">
              <w:rPr>
                <w:rFonts w:ascii="Times New Roman" w:eastAsiaTheme="minorHAnsi" w:hAnsi="Times New Roman"/>
                <w:lang w:eastAsia="en-US"/>
              </w:rPr>
              <w:t>оился за счёт средств концессионера (АО «Управление отходами») в рамках заключенного концессионного соглашения в отношении системы коммунальной инфраструктуры – межмуниципальной системы переработки и утилизации (захоронения) твердых бытовых отходов на территории Чувашской Республики от 01.07.2014.</w:t>
            </w:r>
          </w:p>
        </w:tc>
      </w:tr>
    </w:tbl>
    <w:p w:rsidR="00557FA9" w:rsidRPr="00F46D6A" w:rsidRDefault="00557FA9" w:rsidP="00557FA9">
      <w:pPr>
        <w:pStyle w:val="a3"/>
        <w:tabs>
          <w:tab w:val="left" w:pos="1162"/>
        </w:tabs>
        <w:spacing w:line="0" w:lineRule="atLeast"/>
        <w:ind w:left="0" w:firstLine="709"/>
        <w:jc w:val="right"/>
        <w:rPr>
          <w:rFonts w:ascii="Times New Roman" w:eastAsiaTheme="minorHAnsi" w:hAnsi="Times New Roman"/>
          <w:sz w:val="26"/>
          <w:szCs w:val="26"/>
          <w:lang w:eastAsia="en-US"/>
        </w:rPr>
      </w:pPr>
    </w:p>
    <w:p w:rsidR="006749AA" w:rsidRPr="00F46D6A" w:rsidRDefault="006749AA"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D2237" w:rsidRPr="00F46D6A" w:rsidRDefault="00FD223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D2237" w:rsidRPr="00F46D6A" w:rsidRDefault="00FD223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D2237" w:rsidRPr="00F46D6A" w:rsidRDefault="00FD223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D2237" w:rsidRPr="00F46D6A" w:rsidRDefault="00FD223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86042" w:rsidRDefault="00486042"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067D7" w:rsidRDefault="004067D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067D7" w:rsidRDefault="004067D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067D7" w:rsidRDefault="004067D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067D7" w:rsidRDefault="004067D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067D7" w:rsidRPr="00F46D6A" w:rsidRDefault="004067D7"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486042" w:rsidRPr="00F46D6A" w:rsidRDefault="00486042"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94909" w:rsidRPr="00F46D6A" w:rsidRDefault="00F94909"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94909" w:rsidRPr="00F46D6A" w:rsidRDefault="00F94909"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F94909" w:rsidRDefault="00F94909"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p>
    <w:p w:rsidR="00C45B7C" w:rsidRPr="00F46D6A" w:rsidRDefault="00C4032E" w:rsidP="007C5524">
      <w:pPr>
        <w:pStyle w:val="a3"/>
        <w:tabs>
          <w:tab w:val="left" w:pos="1162"/>
        </w:tabs>
        <w:spacing w:line="0" w:lineRule="atLeast"/>
        <w:ind w:left="0" w:firstLine="709"/>
        <w:jc w:val="right"/>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lastRenderedPageBreak/>
        <w:t>Приложение 2</w:t>
      </w:r>
    </w:p>
    <w:p w:rsidR="007C5524" w:rsidRPr="00F46D6A" w:rsidRDefault="00EC5EEF" w:rsidP="007C5524">
      <w:pPr>
        <w:pStyle w:val="a3"/>
        <w:tabs>
          <w:tab w:val="left" w:pos="1162"/>
        </w:tabs>
        <w:spacing w:line="0" w:lineRule="atLeast"/>
        <w:ind w:left="0" w:firstLine="709"/>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 xml:space="preserve">Информация </w:t>
      </w:r>
      <w:r w:rsidR="007C5524" w:rsidRPr="00F46D6A">
        <w:rPr>
          <w:rFonts w:ascii="Times New Roman" w:eastAsiaTheme="minorHAnsi" w:hAnsi="Times New Roman"/>
          <w:sz w:val="26"/>
          <w:szCs w:val="26"/>
          <w:lang w:eastAsia="en-US"/>
        </w:rPr>
        <w:t>о достижении целевых индикаторов</w:t>
      </w:r>
      <w:r w:rsidRPr="00F46D6A">
        <w:rPr>
          <w:rFonts w:ascii="Times New Roman" w:eastAsiaTheme="minorHAnsi" w:hAnsi="Times New Roman"/>
          <w:sz w:val="26"/>
          <w:szCs w:val="26"/>
          <w:lang w:eastAsia="en-US"/>
        </w:rPr>
        <w:t xml:space="preserve"> за 2020 год</w:t>
      </w:r>
    </w:p>
    <w:tbl>
      <w:tblPr>
        <w:tblStyle w:val="a9"/>
        <w:tblW w:w="15843" w:type="dxa"/>
        <w:tblLayout w:type="fixed"/>
        <w:tblLook w:val="04A0" w:firstRow="1" w:lastRow="0" w:firstColumn="1" w:lastColumn="0" w:noHBand="0" w:noVBand="1"/>
      </w:tblPr>
      <w:tblGrid>
        <w:gridCol w:w="675"/>
        <w:gridCol w:w="6096"/>
        <w:gridCol w:w="1417"/>
        <w:gridCol w:w="1701"/>
        <w:gridCol w:w="5954"/>
      </w:tblGrid>
      <w:tr w:rsidR="00C4032E" w:rsidRPr="00F46D6A" w:rsidTr="00C4032E">
        <w:trPr>
          <w:trHeight w:val="634"/>
        </w:trPr>
        <w:tc>
          <w:tcPr>
            <w:tcW w:w="675" w:type="dxa"/>
            <w:vMerge w:val="restart"/>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r w:rsidRPr="00F46D6A">
              <w:rPr>
                <w:rFonts w:ascii="Times New Roman" w:eastAsiaTheme="minorHAnsi" w:hAnsi="Times New Roman"/>
                <w:sz w:val="24"/>
                <w:szCs w:val="24"/>
                <w:lang w:eastAsia="en-US"/>
              </w:rPr>
              <w:t>№</w:t>
            </w:r>
            <w:r w:rsidR="00BE5C05" w:rsidRPr="00F46D6A">
              <w:rPr>
                <w:rFonts w:ascii="Times New Roman" w:eastAsiaTheme="minorHAnsi" w:hAnsi="Times New Roman"/>
                <w:sz w:val="24"/>
                <w:szCs w:val="24"/>
                <w:lang w:eastAsia="en-US"/>
              </w:rPr>
              <w:t xml:space="preserve"> </w:t>
            </w:r>
            <w:proofErr w:type="gramStart"/>
            <w:r w:rsidRPr="00F46D6A">
              <w:rPr>
                <w:rFonts w:ascii="Times New Roman" w:eastAsiaTheme="minorHAnsi" w:hAnsi="Times New Roman"/>
                <w:sz w:val="24"/>
                <w:szCs w:val="24"/>
                <w:lang w:eastAsia="en-US"/>
              </w:rPr>
              <w:t>п</w:t>
            </w:r>
            <w:proofErr w:type="gramEnd"/>
            <w:r w:rsidRPr="00F46D6A">
              <w:rPr>
                <w:rFonts w:ascii="Times New Roman" w:eastAsiaTheme="minorHAnsi" w:hAnsi="Times New Roman"/>
                <w:sz w:val="24"/>
                <w:szCs w:val="24"/>
                <w:lang w:eastAsia="en-US"/>
              </w:rPr>
              <w:t>/п</w:t>
            </w:r>
          </w:p>
        </w:tc>
        <w:tc>
          <w:tcPr>
            <w:tcW w:w="6096" w:type="dxa"/>
            <w:vMerge w:val="restart"/>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r w:rsidRPr="00F46D6A">
              <w:rPr>
                <w:rFonts w:ascii="Times New Roman" w:eastAsiaTheme="minorHAnsi" w:hAnsi="Times New Roman"/>
                <w:sz w:val="24"/>
                <w:szCs w:val="24"/>
                <w:lang w:eastAsia="en-US"/>
              </w:rPr>
              <w:t>Наименование показателя</w:t>
            </w:r>
          </w:p>
        </w:tc>
        <w:tc>
          <w:tcPr>
            <w:tcW w:w="3118" w:type="dxa"/>
            <w:gridSpan w:val="2"/>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p>
          <w:p w:rsidR="00C4032E" w:rsidRPr="00F46D6A" w:rsidRDefault="00C4032E" w:rsidP="00375D78">
            <w:pPr>
              <w:pStyle w:val="a3"/>
              <w:tabs>
                <w:tab w:val="left" w:pos="1162"/>
              </w:tabs>
              <w:spacing w:line="0" w:lineRule="atLeast"/>
              <w:ind w:left="0"/>
              <w:jc w:val="center"/>
              <w:rPr>
                <w:rFonts w:ascii="Times New Roman" w:eastAsiaTheme="minorHAnsi" w:hAnsi="Times New Roman"/>
                <w:sz w:val="24"/>
                <w:szCs w:val="24"/>
                <w:lang w:eastAsia="en-US"/>
              </w:rPr>
            </w:pPr>
            <w:r w:rsidRPr="00F46D6A">
              <w:rPr>
                <w:rFonts w:ascii="Times New Roman" w:eastAsiaTheme="minorHAnsi" w:hAnsi="Times New Roman"/>
                <w:sz w:val="24"/>
                <w:szCs w:val="24"/>
                <w:lang w:eastAsia="en-US"/>
              </w:rPr>
              <w:t>20</w:t>
            </w:r>
            <w:r w:rsidR="00375D78" w:rsidRPr="00F46D6A">
              <w:rPr>
                <w:rFonts w:ascii="Times New Roman" w:eastAsiaTheme="minorHAnsi" w:hAnsi="Times New Roman"/>
                <w:sz w:val="24"/>
                <w:szCs w:val="24"/>
                <w:lang w:eastAsia="en-US"/>
              </w:rPr>
              <w:t>20 год</w:t>
            </w:r>
            <w:r w:rsidRPr="00F46D6A">
              <w:rPr>
                <w:rFonts w:ascii="Times New Roman" w:eastAsiaTheme="minorHAnsi" w:hAnsi="Times New Roman"/>
                <w:sz w:val="24"/>
                <w:szCs w:val="24"/>
                <w:lang w:eastAsia="en-US"/>
              </w:rPr>
              <w:t xml:space="preserve"> </w:t>
            </w:r>
          </w:p>
        </w:tc>
        <w:tc>
          <w:tcPr>
            <w:tcW w:w="5954" w:type="dxa"/>
            <w:vMerge w:val="restart"/>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r w:rsidRPr="00F46D6A">
              <w:rPr>
                <w:rFonts w:ascii="Times New Roman" w:eastAsiaTheme="minorHAnsi" w:hAnsi="Times New Roman"/>
                <w:sz w:val="24"/>
                <w:szCs w:val="24"/>
                <w:lang w:eastAsia="en-US"/>
              </w:rPr>
              <w:t>Примечание: методика расчета; источник информации; причины невыполнения показателей</w:t>
            </w:r>
          </w:p>
        </w:tc>
      </w:tr>
      <w:tr w:rsidR="00C4032E" w:rsidRPr="00F46D6A" w:rsidTr="00C4032E">
        <w:tc>
          <w:tcPr>
            <w:tcW w:w="675" w:type="dxa"/>
            <w:vMerge/>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p>
        </w:tc>
        <w:tc>
          <w:tcPr>
            <w:tcW w:w="6096" w:type="dxa"/>
            <w:vMerge/>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p>
        </w:tc>
        <w:tc>
          <w:tcPr>
            <w:tcW w:w="1417" w:type="dxa"/>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r w:rsidRPr="00F46D6A">
              <w:rPr>
                <w:rFonts w:ascii="Times New Roman" w:eastAsiaTheme="minorHAnsi" w:hAnsi="Times New Roman"/>
                <w:sz w:val="24"/>
                <w:szCs w:val="24"/>
                <w:lang w:eastAsia="en-US"/>
              </w:rPr>
              <w:t>План</w:t>
            </w:r>
          </w:p>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p>
        </w:tc>
        <w:tc>
          <w:tcPr>
            <w:tcW w:w="1701" w:type="dxa"/>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r w:rsidRPr="00F46D6A">
              <w:rPr>
                <w:rFonts w:ascii="Times New Roman" w:eastAsiaTheme="minorHAnsi" w:hAnsi="Times New Roman"/>
                <w:sz w:val="24"/>
                <w:szCs w:val="24"/>
                <w:lang w:eastAsia="en-US"/>
              </w:rPr>
              <w:t>факт</w:t>
            </w:r>
          </w:p>
        </w:tc>
        <w:tc>
          <w:tcPr>
            <w:tcW w:w="5954" w:type="dxa"/>
            <w:vMerge/>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4"/>
                <w:szCs w:val="24"/>
                <w:lang w:eastAsia="en-US"/>
              </w:rPr>
            </w:pPr>
          </w:p>
        </w:tc>
      </w:tr>
      <w:tr w:rsidR="00BC0740" w:rsidRPr="00F46D6A" w:rsidTr="00C4032E">
        <w:tc>
          <w:tcPr>
            <w:tcW w:w="675" w:type="dxa"/>
          </w:tcPr>
          <w:p w:rsidR="00BC0740" w:rsidRPr="00F46D6A" w:rsidRDefault="00BC0740"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w:t>
            </w:r>
          </w:p>
        </w:tc>
        <w:tc>
          <w:tcPr>
            <w:tcW w:w="6096" w:type="dxa"/>
          </w:tcPr>
          <w:p w:rsidR="00BC0740" w:rsidRPr="00F46D6A" w:rsidRDefault="00BC0740"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Доля организаций частной формы собственности на рынке жилищного строительства, процентов</w:t>
            </w:r>
          </w:p>
        </w:tc>
        <w:tc>
          <w:tcPr>
            <w:tcW w:w="1417" w:type="dxa"/>
          </w:tcPr>
          <w:p w:rsidR="00BC0740" w:rsidRPr="00F46D6A" w:rsidRDefault="00BC0740" w:rsidP="00C4032E">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w:t>
            </w:r>
          </w:p>
        </w:tc>
        <w:tc>
          <w:tcPr>
            <w:tcW w:w="1701" w:type="dxa"/>
          </w:tcPr>
          <w:p w:rsidR="00BC0740" w:rsidRPr="00F46D6A" w:rsidRDefault="00BC0740" w:rsidP="00FB4DCB">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100,00</w:t>
            </w:r>
          </w:p>
        </w:tc>
        <w:tc>
          <w:tcPr>
            <w:tcW w:w="5954" w:type="dxa"/>
          </w:tcPr>
          <w:p w:rsidR="00BC0740" w:rsidRPr="00F46D6A" w:rsidRDefault="00BC0740" w:rsidP="00F46D6A">
            <w:pPr>
              <w:pStyle w:val="a3"/>
              <w:tabs>
                <w:tab w:val="left" w:pos="1162"/>
              </w:tabs>
              <w:spacing w:line="0" w:lineRule="atLeast"/>
              <w:ind w:left="0"/>
              <w:jc w:val="both"/>
              <w:rPr>
                <w:rFonts w:ascii="Times New Roman" w:eastAsiaTheme="minorHAnsi" w:hAnsi="Times New Roman"/>
                <w:lang w:eastAsia="en-US"/>
              </w:rPr>
            </w:pPr>
          </w:p>
        </w:tc>
      </w:tr>
      <w:tr w:rsidR="00BC0740" w:rsidRPr="00F46D6A" w:rsidTr="00C4032E">
        <w:tc>
          <w:tcPr>
            <w:tcW w:w="675" w:type="dxa"/>
          </w:tcPr>
          <w:p w:rsidR="00BC0740" w:rsidRPr="00F46D6A" w:rsidRDefault="00BC0740"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2</w:t>
            </w:r>
          </w:p>
        </w:tc>
        <w:tc>
          <w:tcPr>
            <w:tcW w:w="6096" w:type="dxa"/>
          </w:tcPr>
          <w:p w:rsidR="00BC0740" w:rsidRPr="00F46D6A" w:rsidRDefault="00BC0740"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Доля организаций частной формы собственности на рынке строительства, за исключением дорожного строительства, процентов</w:t>
            </w:r>
          </w:p>
        </w:tc>
        <w:tc>
          <w:tcPr>
            <w:tcW w:w="1417" w:type="dxa"/>
          </w:tcPr>
          <w:p w:rsidR="00BC0740" w:rsidRPr="00F46D6A" w:rsidRDefault="00BC0740" w:rsidP="00375D78">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79,0</w:t>
            </w:r>
          </w:p>
        </w:tc>
        <w:tc>
          <w:tcPr>
            <w:tcW w:w="1701" w:type="dxa"/>
          </w:tcPr>
          <w:p w:rsidR="00BC0740" w:rsidRPr="00F46D6A" w:rsidRDefault="00BC0740" w:rsidP="00FB4DCB">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78,00</w:t>
            </w:r>
          </w:p>
        </w:tc>
        <w:tc>
          <w:tcPr>
            <w:tcW w:w="5954" w:type="dxa"/>
          </w:tcPr>
          <w:p w:rsidR="00BC0740" w:rsidRPr="00F46D6A" w:rsidRDefault="00BC0740" w:rsidP="00F46D6A">
            <w:pPr>
              <w:pStyle w:val="a3"/>
              <w:tabs>
                <w:tab w:val="left" w:pos="1162"/>
              </w:tabs>
              <w:spacing w:line="0" w:lineRule="atLeast"/>
              <w:ind w:left="0"/>
              <w:jc w:val="both"/>
              <w:rPr>
                <w:rFonts w:ascii="Times New Roman" w:eastAsiaTheme="minorHAnsi" w:hAnsi="Times New Roman"/>
                <w:lang w:eastAsia="en-US"/>
              </w:rPr>
            </w:pPr>
          </w:p>
        </w:tc>
      </w:tr>
      <w:tr w:rsidR="00C55920" w:rsidRPr="00F46D6A" w:rsidTr="00C4032E">
        <w:tc>
          <w:tcPr>
            <w:tcW w:w="675" w:type="dxa"/>
          </w:tcPr>
          <w:p w:rsidR="00C55920" w:rsidRPr="00F46D6A" w:rsidRDefault="00C55920"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3</w:t>
            </w:r>
          </w:p>
        </w:tc>
        <w:tc>
          <w:tcPr>
            <w:tcW w:w="6096" w:type="dxa"/>
          </w:tcPr>
          <w:p w:rsidR="00C55920" w:rsidRPr="00F46D6A" w:rsidRDefault="00C55920"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Доля организаций частной формы собственности на рынке архитектурно-строительного проектирования, процентов</w:t>
            </w:r>
          </w:p>
        </w:tc>
        <w:tc>
          <w:tcPr>
            <w:tcW w:w="1417" w:type="dxa"/>
          </w:tcPr>
          <w:p w:rsidR="00C55920" w:rsidRPr="00F46D6A" w:rsidRDefault="00C55920" w:rsidP="00C4032E">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w:t>
            </w:r>
          </w:p>
        </w:tc>
        <w:tc>
          <w:tcPr>
            <w:tcW w:w="1701" w:type="dxa"/>
          </w:tcPr>
          <w:p w:rsidR="00C55920" w:rsidRPr="00F46D6A" w:rsidRDefault="00C55920" w:rsidP="00FB4DCB">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100,00</w:t>
            </w:r>
          </w:p>
        </w:tc>
        <w:tc>
          <w:tcPr>
            <w:tcW w:w="5954" w:type="dxa"/>
          </w:tcPr>
          <w:p w:rsidR="00C55920" w:rsidRPr="00F46D6A" w:rsidRDefault="00C55920" w:rsidP="00F46D6A">
            <w:pPr>
              <w:pStyle w:val="a3"/>
              <w:tabs>
                <w:tab w:val="left" w:pos="1162"/>
              </w:tabs>
              <w:spacing w:line="0" w:lineRule="atLeast"/>
              <w:ind w:left="0"/>
              <w:jc w:val="both"/>
              <w:rPr>
                <w:rFonts w:ascii="Times New Roman" w:eastAsiaTheme="minorHAnsi" w:hAnsi="Times New Roman"/>
                <w:lang w:eastAsia="en-US"/>
              </w:rPr>
            </w:pPr>
          </w:p>
        </w:tc>
      </w:tr>
      <w:tr w:rsidR="00C4032E" w:rsidTr="00C4032E">
        <w:tc>
          <w:tcPr>
            <w:tcW w:w="675" w:type="dxa"/>
          </w:tcPr>
          <w:p w:rsidR="00C4032E" w:rsidRPr="00F46D6A" w:rsidRDefault="00BE5C05"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4</w:t>
            </w:r>
          </w:p>
        </w:tc>
        <w:tc>
          <w:tcPr>
            <w:tcW w:w="6096" w:type="dxa"/>
          </w:tcPr>
          <w:p w:rsidR="00C4032E" w:rsidRPr="00F46D6A" w:rsidRDefault="00C4032E"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Доля организаций частной формы собственности на рынке транспортирования твердых коммунальных отходов, процентов</w:t>
            </w:r>
          </w:p>
        </w:tc>
        <w:tc>
          <w:tcPr>
            <w:tcW w:w="1417" w:type="dxa"/>
          </w:tcPr>
          <w:p w:rsidR="00C4032E" w:rsidRPr="00F46D6A" w:rsidRDefault="00375D78" w:rsidP="00C4032E">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90</w:t>
            </w:r>
            <w:r w:rsidR="00C4032E" w:rsidRPr="00F46D6A">
              <w:rPr>
                <w:rFonts w:ascii="Times New Roman" w:eastAsiaTheme="minorHAnsi" w:hAnsi="Times New Roman"/>
                <w:sz w:val="26"/>
                <w:szCs w:val="26"/>
                <w:lang w:eastAsia="en-US"/>
              </w:rPr>
              <w:t>,0</w:t>
            </w:r>
          </w:p>
        </w:tc>
        <w:tc>
          <w:tcPr>
            <w:tcW w:w="1701" w:type="dxa"/>
          </w:tcPr>
          <w:p w:rsidR="00C4032E" w:rsidRPr="00F46D6A" w:rsidRDefault="00224787"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90</w:t>
            </w:r>
          </w:p>
        </w:tc>
        <w:tc>
          <w:tcPr>
            <w:tcW w:w="5954" w:type="dxa"/>
          </w:tcPr>
          <w:p w:rsidR="00C4032E" w:rsidRPr="0077375A" w:rsidRDefault="00C4032E" w:rsidP="00F46D6A">
            <w:pPr>
              <w:pStyle w:val="a3"/>
              <w:tabs>
                <w:tab w:val="left" w:pos="1162"/>
              </w:tabs>
              <w:spacing w:line="0" w:lineRule="atLeast"/>
              <w:ind w:left="0"/>
              <w:jc w:val="both"/>
              <w:rPr>
                <w:rFonts w:ascii="Times New Roman" w:eastAsiaTheme="minorHAnsi" w:hAnsi="Times New Roman"/>
                <w:lang w:eastAsia="en-US"/>
              </w:rPr>
            </w:pPr>
          </w:p>
        </w:tc>
      </w:tr>
      <w:tr w:rsidR="00BC0740" w:rsidRPr="00F46D6A" w:rsidTr="00F46D6A">
        <w:trPr>
          <w:trHeight w:val="537"/>
        </w:trPr>
        <w:tc>
          <w:tcPr>
            <w:tcW w:w="675" w:type="dxa"/>
          </w:tcPr>
          <w:p w:rsidR="00BC0740" w:rsidRPr="00F46D6A" w:rsidRDefault="00BC0740"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5</w:t>
            </w:r>
          </w:p>
        </w:tc>
        <w:tc>
          <w:tcPr>
            <w:tcW w:w="6096" w:type="dxa"/>
          </w:tcPr>
          <w:p w:rsidR="00BC0740" w:rsidRPr="00F46D6A" w:rsidRDefault="00BC0740"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Доля организаций частной формы собственности на рынке производства кирпича, процентов</w:t>
            </w:r>
          </w:p>
        </w:tc>
        <w:tc>
          <w:tcPr>
            <w:tcW w:w="1417" w:type="dxa"/>
          </w:tcPr>
          <w:p w:rsidR="00BC0740" w:rsidRPr="00F46D6A" w:rsidRDefault="00BC0740" w:rsidP="00C4032E">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w:t>
            </w:r>
          </w:p>
        </w:tc>
        <w:tc>
          <w:tcPr>
            <w:tcW w:w="1701" w:type="dxa"/>
          </w:tcPr>
          <w:p w:rsidR="00BC0740" w:rsidRPr="00F46D6A" w:rsidRDefault="00BC0740" w:rsidP="00FB4DCB">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100,00</w:t>
            </w:r>
          </w:p>
        </w:tc>
        <w:tc>
          <w:tcPr>
            <w:tcW w:w="5954" w:type="dxa"/>
          </w:tcPr>
          <w:p w:rsidR="00BC0740" w:rsidRPr="00F46D6A" w:rsidRDefault="00BC0740" w:rsidP="00BF713A">
            <w:pPr>
              <w:pStyle w:val="a3"/>
              <w:tabs>
                <w:tab w:val="left" w:pos="1162"/>
              </w:tabs>
              <w:spacing w:line="0" w:lineRule="atLeast"/>
              <w:ind w:left="0"/>
              <w:jc w:val="center"/>
              <w:rPr>
                <w:rFonts w:ascii="Times New Roman" w:eastAsiaTheme="minorHAnsi" w:hAnsi="Times New Roman"/>
                <w:sz w:val="26"/>
                <w:szCs w:val="26"/>
                <w:lang w:eastAsia="en-US"/>
              </w:rPr>
            </w:pPr>
          </w:p>
        </w:tc>
      </w:tr>
      <w:tr w:rsidR="00BC0740" w:rsidRPr="00F46D6A" w:rsidTr="00C4032E">
        <w:tc>
          <w:tcPr>
            <w:tcW w:w="675" w:type="dxa"/>
          </w:tcPr>
          <w:p w:rsidR="00BC0740" w:rsidRPr="00F46D6A" w:rsidRDefault="00BC0740"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6</w:t>
            </w:r>
          </w:p>
        </w:tc>
        <w:tc>
          <w:tcPr>
            <w:tcW w:w="6096" w:type="dxa"/>
          </w:tcPr>
          <w:p w:rsidR="00BC0740" w:rsidRPr="00F46D6A" w:rsidRDefault="00BC0740"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Доля организаций частной формы собственности на рынке производства бетона, процентов</w:t>
            </w:r>
          </w:p>
        </w:tc>
        <w:tc>
          <w:tcPr>
            <w:tcW w:w="1417" w:type="dxa"/>
          </w:tcPr>
          <w:p w:rsidR="00BC0740" w:rsidRPr="00F46D6A" w:rsidRDefault="00BC0740" w:rsidP="00375D78">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95,0</w:t>
            </w:r>
          </w:p>
        </w:tc>
        <w:tc>
          <w:tcPr>
            <w:tcW w:w="1701" w:type="dxa"/>
          </w:tcPr>
          <w:p w:rsidR="00BC0740" w:rsidRPr="00F46D6A" w:rsidRDefault="00BC0740" w:rsidP="00FB4DCB">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100,00</w:t>
            </w:r>
          </w:p>
        </w:tc>
        <w:tc>
          <w:tcPr>
            <w:tcW w:w="5954" w:type="dxa"/>
          </w:tcPr>
          <w:p w:rsidR="00BC0740" w:rsidRPr="00F46D6A" w:rsidRDefault="00BC0740" w:rsidP="00BF713A">
            <w:pPr>
              <w:pStyle w:val="a3"/>
              <w:tabs>
                <w:tab w:val="left" w:pos="1162"/>
              </w:tabs>
              <w:spacing w:line="0" w:lineRule="atLeast"/>
              <w:ind w:left="0"/>
              <w:jc w:val="center"/>
              <w:rPr>
                <w:rFonts w:ascii="Times New Roman" w:eastAsiaTheme="minorHAnsi" w:hAnsi="Times New Roman"/>
                <w:sz w:val="26"/>
                <w:szCs w:val="26"/>
                <w:lang w:eastAsia="en-US"/>
              </w:rPr>
            </w:pPr>
          </w:p>
        </w:tc>
      </w:tr>
      <w:tr w:rsidR="00C4032E" w:rsidTr="00C4032E">
        <w:tc>
          <w:tcPr>
            <w:tcW w:w="675" w:type="dxa"/>
          </w:tcPr>
          <w:p w:rsidR="00C4032E" w:rsidRPr="00F46D6A" w:rsidRDefault="00BE5C05"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7</w:t>
            </w:r>
          </w:p>
        </w:tc>
        <w:tc>
          <w:tcPr>
            <w:tcW w:w="6096" w:type="dxa"/>
          </w:tcPr>
          <w:p w:rsidR="00C4032E" w:rsidRPr="00F46D6A" w:rsidRDefault="00C4032E" w:rsidP="00C4032E">
            <w:pPr>
              <w:pStyle w:val="a3"/>
              <w:tabs>
                <w:tab w:val="left" w:pos="1162"/>
              </w:tabs>
              <w:spacing w:line="0" w:lineRule="atLeast"/>
              <w:ind w:left="0"/>
              <w:jc w:val="both"/>
              <w:rPr>
                <w:rFonts w:ascii="Times New Roman" w:eastAsiaTheme="minorHAnsi" w:hAnsi="Times New Roman"/>
                <w:lang w:eastAsia="en-US"/>
              </w:rPr>
            </w:pPr>
            <w:r w:rsidRPr="00F46D6A">
              <w:rPr>
                <w:rFonts w:ascii="Times New Roman" w:eastAsiaTheme="minorHAnsi" w:hAnsi="Times New Roman"/>
                <w:lang w:eastAsia="en-US"/>
              </w:rPr>
              <w:t xml:space="preserve">Доля организаций частной формы собственности, выполняющих работы по содержанию и текущему ремонту общего имущества собственников помещений в многоквартирном </w:t>
            </w:r>
            <w:proofErr w:type="gramStart"/>
            <w:r w:rsidRPr="00F46D6A">
              <w:rPr>
                <w:rFonts w:ascii="Times New Roman" w:eastAsiaTheme="minorHAnsi" w:hAnsi="Times New Roman"/>
                <w:lang w:eastAsia="en-US"/>
              </w:rPr>
              <w:t>доме</w:t>
            </w:r>
            <w:proofErr w:type="gramEnd"/>
          </w:p>
        </w:tc>
        <w:tc>
          <w:tcPr>
            <w:tcW w:w="1417" w:type="dxa"/>
          </w:tcPr>
          <w:p w:rsidR="00C4032E" w:rsidRPr="00F46D6A" w:rsidRDefault="00C4032E" w:rsidP="00375D78">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9</w:t>
            </w:r>
            <w:r w:rsidR="00375D78" w:rsidRPr="00F46D6A">
              <w:rPr>
                <w:rFonts w:ascii="Times New Roman" w:eastAsiaTheme="minorHAnsi" w:hAnsi="Times New Roman"/>
                <w:sz w:val="26"/>
                <w:szCs w:val="26"/>
                <w:lang w:eastAsia="en-US"/>
              </w:rPr>
              <w:t>6</w:t>
            </w:r>
            <w:r w:rsidRPr="00F46D6A">
              <w:rPr>
                <w:rFonts w:ascii="Times New Roman" w:eastAsiaTheme="minorHAnsi" w:hAnsi="Times New Roman"/>
                <w:sz w:val="26"/>
                <w:szCs w:val="26"/>
                <w:lang w:eastAsia="en-US"/>
              </w:rPr>
              <w:t>,</w:t>
            </w:r>
            <w:r w:rsidR="00375D78" w:rsidRPr="00F46D6A">
              <w:rPr>
                <w:rFonts w:ascii="Times New Roman" w:eastAsiaTheme="minorHAnsi" w:hAnsi="Times New Roman"/>
                <w:sz w:val="26"/>
                <w:szCs w:val="26"/>
                <w:lang w:eastAsia="en-US"/>
              </w:rPr>
              <w:t>0</w:t>
            </w:r>
          </w:p>
        </w:tc>
        <w:tc>
          <w:tcPr>
            <w:tcW w:w="1701" w:type="dxa"/>
          </w:tcPr>
          <w:p w:rsidR="00C4032E" w:rsidRPr="00F46D6A" w:rsidRDefault="004D2251" w:rsidP="00BF713A">
            <w:pPr>
              <w:pStyle w:val="a3"/>
              <w:tabs>
                <w:tab w:val="left" w:pos="1162"/>
              </w:tabs>
              <w:spacing w:line="0" w:lineRule="atLeast"/>
              <w:ind w:left="0"/>
              <w:jc w:val="center"/>
              <w:rPr>
                <w:rFonts w:ascii="Times New Roman" w:eastAsiaTheme="minorHAnsi" w:hAnsi="Times New Roman"/>
                <w:sz w:val="26"/>
                <w:szCs w:val="26"/>
                <w:lang w:eastAsia="en-US"/>
              </w:rPr>
            </w:pPr>
            <w:r w:rsidRPr="00F46D6A">
              <w:rPr>
                <w:rFonts w:ascii="Times New Roman" w:eastAsiaTheme="minorHAnsi" w:hAnsi="Times New Roman"/>
                <w:sz w:val="26"/>
                <w:szCs w:val="26"/>
                <w:lang w:eastAsia="en-US"/>
              </w:rPr>
              <w:t>96</w:t>
            </w:r>
          </w:p>
        </w:tc>
        <w:tc>
          <w:tcPr>
            <w:tcW w:w="5954" w:type="dxa"/>
          </w:tcPr>
          <w:p w:rsidR="00C4032E" w:rsidRPr="00F46D6A" w:rsidRDefault="00C4032E" w:rsidP="00BF713A">
            <w:pPr>
              <w:pStyle w:val="a3"/>
              <w:tabs>
                <w:tab w:val="left" w:pos="1162"/>
              </w:tabs>
              <w:spacing w:line="0" w:lineRule="atLeast"/>
              <w:ind w:left="0"/>
              <w:jc w:val="center"/>
              <w:rPr>
                <w:rFonts w:ascii="Times New Roman" w:eastAsiaTheme="minorHAnsi" w:hAnsi="Times New Roman"/>
                <w:sz w:val="26"/>
                <w:szCs w:val="26"/>
                <w:lang w:eastAsia="en-US"/>
              </w:rPr>
            </w:pPr>
          </w:p>
        </w:tc>
      </w:tr>
    </w:tbl>
    <w:p w:rsidR="00FA10E6" w:rsidRPr="00F01406" w:rsidRDefault="00FA10E6" w:rsidP="009C0635">
      <w:pPr>
        <w:tabs>
          <w:tab w:val="left" w:pos="1089"/>
        </w:tabs>
        <w:rPr>
          <w:lang w:eastAsia="en-US"/>
        </w:rPr>
      </w:pPr>
    </w:p>
    <w:sectPr w:rsidR="00FA10E6" w:rsidRPr="00F01406" w:rsidSect="003C2800">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D1" w:rsidRDefault="00953DD1" w:rsidP="00CC6EB5">
      <w:pPr>
        <w:spacing w:after="0" w:line="240" w:lineRule="auto"/>
      </w:pPr>
      <w:r>
        <w:separator/>
      </w:r>
    </w:p>
  </w:endnote>
  <w:endnote w:type="continuationSeparator" w:id="0">
    <w:p w:rsidR="00953DD1" w:rsidRDefault="00953DD1" w:rsidP="00CC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D1" w:rsidRDefault="00953DD1" w:rsidP="00CC6EB5">
      <w:pPr>
        <w:spacing w:after="0" w:line="240" w:lineRule="auto"/>
      </w:pPr>
      <w:r>
        <w:separator/>
      </w:r>
    </w:p>
  </w:footnote>
  <w:footnote w:type="continuationSeparator" w:id="0">
    <w:p w:rsidR="00953DD1" w:rsidRDefault="00953DD1" w:rsidP="00CC6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E1"/>
    <w:rsid w:val="00004CD1"/>
    <w:rsid w:val="00007382"/>
    <w:rsid w:val="00015400"/>
    <w:rsid w:val="00025D4B"/>
    <w:rsid w:val="000421DE"/>
    <w:rsid w:val="00042A74"/>
    <w:rsid w:val="00043583"/>
    <w:rsid w:val="000446F7"/>
    <w:rsid w:val="00046944"/>
    <w:rsid w:val="00050902"/>
    <w:rsid w:val="00050CF4"/>
    <w:rsid w:val="0005724C"/>
    <w:rsid w:val="000736E1"/>
    <w:rsid w:val="00080A92"/>
    <w:rsid w:val="00085FA5"/>
    <w:rsid w:val="00086758"/>
    <w:rsid w:val="000912E0"/>
    <w:rsid w:val="000926F2"/>
    <w:rsid w:val="000A4896"/>
    <w:rsid w:val="000B0F1F"/>
    <w:rsid w:val="000D3FDC"/>
    <w:rsid w:val="00161F57"/>
    <w:rsid w:val="001A597C"/>
    <w:rsid w:val="001B09DA"/>
    <w:rsid w:val="001D7937"/>
    <w:rsid w:val="001E610D"/>
    <w:rsid w:val="002156CC"/>
    <w:rsid w:val="00224787"/>
    <w:rsid w:val="00234B57"/>
    <w:rsid w:val="00254A90"/>
    <w:rsid w:val="00266EE1"/>
    <w:rsid w:val="00297816"/>
    <w:rsid w:val="002A06DE"/>
    <w:rsid w:val="002D31E4"/>
    <w:rsid w:val="002E6622"/>
    <w:rsid w:val="002F6DB8"/>
    <w:rsid w:val="002F7AB1"/>
    <w:rsid w:val="00331090"/>
    <w:rsid w:val="00334F4C"/>
    <w:rsid w:val="003409DB"/>
    <w:rsid w:val="00345CAC"/>
    <w:rsid w:val="00361494"/>
    <w:rsid w:val="00363160"/>
    <w:rsid w:val="003728E1"/>
    <w:rsid w:val="00375D78"/>
    <w:rsid w:val="003875FB"/>
    <w:rsid w:val="003905BD"/>
    <w:rsid w:val="00396C2A"/>
    <w:rsid w:val="00397E52"/>
    <w:rsid w:val="003C0DDD"/>
    <w:rsid w:val="003C1D39"/>
    <w:rsid w:val="003C1F57"/>
    <w:rsid w:val="003C2800"/>
    <w:rsid w:val="003D691A"/>
    <w:rsid w:val="004067D7"/>
    <w:rsid w:val="00413F88"/>
    <w:rsid w:val="00430043"/>
    <w:rsid w:val="00462FD9"/>
    <w:rsid w:val="004664AF"/>
    <w:rsid w:val="00486042"/>
    <w:rsid w:val="00486D0B"/>
    <w:rsid w:val="004A19B3"/>
    <w:rsid w:val="004C554D"/>
    <w:rsid w:val="004D2251"/>
    <w:rsid w:val="004F7AA0"/>
    <w:rsid w:val="0052019F"/>
    <w:rsid w:val="00532866"/>
    <w:rsid w:val="00553F99"/>
    <w:rsid w:val="0055650B"/>
    <w:rsid w:val="005578C9"/>
    <w:rsid w:val="00557FA9"/>
    <w:rsid w:val="00562F02"/>
    <w:rsid w:val="00566746"/>
    <w:rsid w:val="005A48D3"/>
    <w:rsid w:val="005B205A"/>
    <w:rsid w:val="005B5921"/>
    <w:rsid w:val="005E08E7"/>
    <w:rsid w:val="005E14B8"/>
    <w:rsid w:val="005F0F31"/>
    <w:rsid w:val="005F4D9F"/>
    <w:rsid w:val="005F6E75"/>
    <w:rsid w:val="00600B44"/>
    <w:rsid w:val="00613D3A"/>
    <w:rsid w:val="00614CE8"/>
    <w:rsid w:val="00645210"/>
    <w:rsid w:val="00653BA4"/>
    <w:rsid w:val="0067061D"/>
    <w:rsid w:val="0067368A"/>
    <w:rsid w:val="006749AA"/>
    <w:rsid w:val="006824FD"/>
    <w:rsid w:val="006A3B3A"/>
    <w:rsid w:val="006A61B0"/>
    <w:rsid w:val="006D2A46"/>
    <w:rsid w:val="006E0D0C"/>
    <w:rsid w:val="0070595E"/>
    <w:rsid w:val="00705C8D"/>
    <w:rsid w:val="00713D4D"/>
    <w:rsid w:val="00721954"/>
    <w:rsid w:val="00767317"/>
    <w:rsid w:val="0078742B"/>
    <w:rsid w:val="00797164"/>
    <w:rsid w:val="007B2AB7"/>
    <w:rsid w:val="007C02B0"/>
    <w:rsid w:val="007C5524"/>
    <w:rsid w:val="007D465B"/>
    <w:rsid w:val="007E7566"/>
    <w:rsid w:val="00801EE3"/>
    <w:rsid w:val="00862EF5"/>
    <w:rsid w:val="00872275"/>
    <w:rsid w:val="008B3CF0"/>
    <w:rsid w:val="008E50AE"/>
    <w:rsid w:val="009165A5"/>
    <w:rsid w:val="00921C34"/>
    <w:rsid w:val="00943161"/>
    <w:rsid w:val="00952DA7"/>
    <w:rsid w:val="00953DD1"/>
    <w:rsid w:val="00954F08"/>
    <w:rsid w:val="0095698E"/>
    <w:rsid w:val="00960720"/>
    <w:rsid w:val="0097571A"/>
    <w:rsid w:val="00982CCD"/>
    <w:rsid w:val="009848D1"/>
    <w:rsid w:val="009A2200"/>
    <w:rsid w:val="009A62C7"/>
    <w:rsid w:val="009B68D3"/>
    <w:rsid w:val="009C0635"/>
    <w:rsid w:val="009E4246"/>
    <w:rsid w:val="009F173B"/>
    <w:rsid w:val="00A27F33"/>
    <w:rsid w:val="00A4377B"/>
    <w:rsid w:val="00A701FC"/>
    <w:rsid w:val="00B17226"/>
    <w:rsid w:val="00B256EF"/>
    <w:rsid w:val="00B31AF6"/>
    <w:rsid w:val="00B34D57"/>
    <w:rsid w:val="00B47F81"/>
    <w:rsid w:val="00B63416"/>
    <w:rsid w:val="00B67EE5"/>
    <w:rsid w:val="00BA5D51"/>
    <w:rsid w:val="00BA7BEC"/>
    <w:rsid w:val="00BB6863"/>
    <w:rsid w:val="00BB7E34"/>
    <w:rsid w:val="00BC0740"/>
    <w:rsid w:val="00BC330D"/>
    <w:rsid w:val="00BD19D4"/>
    <w:rsid w:val="00BD41CE"/>
    <w:rsid w:val="00BE5C05"/>
    <w:rsid w:val="00BF2252"/>
    <w:rsid w:val="00BF7B06"/>
    <w:rsid w:val="00C4032E"/>
    <w:rsid w:val="00C457E1"/>
    <w:rsid w:val="00C45B7C"/>
    <w:rsid w:val="00C55920"/>
    <w:rsid w:val="00C57C4F"/>
    <w:rsid w:val="00C71E3E"/>
    <w:rsid w:val="00C77A94"/>
    <w:rsid w:val="00C83EC8"/>
    <w:rsid w:val="00C86196"/>
    <w:rsid w:val="00C87E38"/>
    <w:rsid w:val="00C9567A"/>
    <w:rsid w:val="00C97988"/>
    <w:rsid w:val="00CA1DDD"/>
    <w:rsid w:val="00CA22AD"/>
    <w:rsid w:val="00CB7A4E"/>
    <w:rsid w:val="00CC6EB5"/>
    <w:rsid w:val="00CE2D03"/>
    <w:rsid w:val="00CF409B"/>
    <w:rsid w:val="00CF452D"/>
    <w:rsid w:val="00CF4FE3"/>
    <w:rsid w:val="00CF549B"/>
    <w:rsid w:val="00CF6BC1"/>
    <w:rsid w:val="00D07F2D"/>
    <w:rsid w:val="00D17E0A"/>
    <w:rsid w:val="00D318BF"/>
    <w:rsid w:val="00D41DB5"/>
    <w:rsid w:val="00D54567"/>
    <w:rsid w:val="00D56A4F"/>
    <w:rsid w:val="00D607FE"/>
    <w:rsid w:val="00DA1441"/>
    <w:rsid w:val="00DB508F"/>
    <w:rsid w:val="00DC5161"/>
    <w:rsid w:val="00DD7E44"/>
    <w:rsid w:val="00DE4B69"/>
    <w:rsid w:val="00E02C48"/>
    <w:rsid w:val="00E26A61"/>
    <w:rsid w:val="00E30C8A"/>
    <w:rsid w:val="00E349F5"/>
    <w:rsid w:val="00E379DC"/>
    <w:rsid w:val="00E501B1"/>
    <w:rsid w:val="00E515F0"/>
    <w:rsid w:val="00E53DCB"/>
    <w:rsid w:val="00E62D09"/>
    <w:rsid w:val="00E65E89"/>
    <w:rsid w:val="00E705F6"/>
    <w:rsid w:val="00E86A65"/>
    <w:rsid w:val="00EA068D"/>
    <w:rsid w:val="00EC3740"/>
    <w:rsid w:val="00EC5EEF"/>
    <w:rsid w:val="00ED6C40"/>
    <w:rsid w:val="00EE6ED3"/>
    <w:rsid w:val="00F01406"/>
    <w:rsid w:val="00F06AB2"/>
    <w:rsid w:val="00F16D6C"/>
    <w:rsid w:val="00F26B64"/>
    <w:rsid w:val="00F46D6A"/>
    <w:rsid w:val="00F55467"/>
    <w:rsid w:val="00F5791A"/>
    <w:rsid w:val="00F70AF3"/>
    <w:rsid w:val="00F721F8"/>
    <w:rsid w:val="00F736FE"/>
    <w:rsid w:val="00F73A7B"/>
    <w:rsid w:val="00F7592E"/>
    <w:rsid w:val="00F80FAF"/>
    <w:rsid w:val="00F84E3F"/>
    <w:rsid w:val="00F94909"/>
    <w:rsid w:val="00F94F7B"/>
    <w:rsid w:val="00FA10E6"/>
    <w:rsid w:val="00FA78AF"/>
    <w:rsid w:val="00FB2F4C"/>
    <w:rsid w:val="00FC1C42"/>
    <w:rsid w:val="00FD2237"/>
    <w:rsid w:val="00FE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6E1"/>
    <w:pPr>
      <w:ind w:left="720"/>
      <w:contextualSpacing/>
    </w:pPr>
  </w:style>
  <w:style w:type="paragraph" w:customStyle="1" w:styleId="NoNumberNonformat">
    <w:name w:val="NoNumberNonformat"/>
    <w:uiPriority w:val="99"/>
    <w:rsid w:val="00CF409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semiHidden/>
    <w:unhideWhenUsed/>
    <w:rsid w:val="00361494"/>
    <w:rPr>
      <w:color w:val="0000FF"/>
      <w:u w:val="single"/>
    </w:rPr>
  </w:style>
  <w:style w:type="paragraph" w:styleId="a5">
    <w:name w:val="header"/>
    <w:basedOn w:val="a"/>
    <w:link w:val="a6"/>
    <w:uiPriority w:val="99"/>
    <w:semiHidden/>
    <w:unhideWhenUsed/>
    <w:rsid w:val="00CC6E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6EB5"/>
    <w:rPr>
      <w:rFonts w:eastAsiaTheme="minorEastAsia"/>
      <w:lang w:eastAsia="ru-RU"/>
    </w:rPr>
  </w:style>
  <w:style w:type="paragraph" w:styleId="a7">
    <w:name w:val="footer"/>
    <w:basedOn w:val="a"/>
    <w:link w:val="a8"/>
    <w:uiPriority w:val="99"/>
    <w:semiHidden/>
    <w:unhideWhenUsed/>
    <w:rsid w:val="00CC6E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6EB5"/>
    <w:rPr>
      <w:rFonts w:eastAsiaTheme="minorEastAsia"/>
      <w:lang w:eastAsia="ru-RU"/>
    </w:rPr>
  </w:style>
  <w:style w:type="table" w:styleId="a9">
    <w:name w:val="Table Grid"/>
    <w:basedOn w:val="a1"/>
    <w:uiPriority w:val="59"/>
    <w:rsid w:val="006A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943161"/>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3728E1"/>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6E1"/>
    <w:pPr>
      <w:ind w:left="720"/>
      <w:contextualSpacing/>
    </w:pPr>
  </w:style>
  <w:style w:type="paragraph" w:customStyle="1" w:styleId="NoNumberNonformat">
    <w:name w:val="NoNumberNonformat"/>
    <w:uiPriority w:val="99"/>
    <w:rsid w:val="00CF409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semiHidden/>
    <w:unhideWhenUsed/>
    <w:rsid w:val="00361494"/>
    <w:rPr>
      <w:color w:val="0000FF"/>
      <w:u w:val="single"/>
    </w:rPr>
  </w:style>
  <w:style w:type="paragraph" w:styleId="a5">
    <w:name w:val="header"/>
    <w:basedOn w:val="a"/>
    <w:link w:val="a6"/>
    <w:uiPriority w:val="99"/>
    <w:semiHidden/>
    <w:unhideWhenUsed/>
    <w:rsid w:val="00CC6E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6EB5"/>
    <w:rPr>
      <w:rFonts w:eastAsiaTheme="minorEastAsia"/>
      <w:lang w:eastAsia="ru-RU"/>
    </w:rPr>
  </w:style>
  <w:style w:type="paragraph" w:styleId="a7">
    <w:name w:val="footer"/>
    <w:basedOn w:val="a"/>
    <w:link w:val="a8"/>
    <w:uiPriority w:val="99"/>
    <w:semiHidden/>
    <w:unhideWhenUsed/>
    <w:rsid w:val="00CC6E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6EB5"/>
    <w:rPr>
      <w:rFonts w:eastAsiaTheme="minorEastAsia"/>
      <w:lang w:eastAsia="ru-RU"/>
    </w:rPr>
  </w:style>
  <w:style w:type="table" w:styleId="a9">
    <w:name w:val="Table Grid"/>
    <w:basedOn w:val="a1"/>
    <w:uiPriority w:val="59"/>
    <w:rsid w:val="006A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uiPriority w:val="99"/>
    <w:rsid w:val="00943161"/>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3728E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791">
      <w:bodyDiv w:val="1"/>
      <w:marLeft w:val="0"/>
      <w:marRight w:val="0"/>
      <w:marTop w:val="0"/>
      <w:marBottom w:val="0"/>
      <w:divBdr>
        <w:top w:val="none" w:sz="0" w:space="0" w:color="auto"/>
        <w:left w:val="none" w:sz="0" w:space="0" w:color="auto"/>
        <w:bottom w:val="none" w:sz="0" w:space="0" w:color="auto"/>
        <w:right w:val="none" w:sz="0" w:space="0" w:color="auto"/>
      </w:divBdr>
    </w:div>
    <w:div w:id="17713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8D3E82D59EF6F07C3AE9D51DE9E05E4BD8931BD003AD8F114C120A8560C38428256BE9F297EC4A1A4E4360883Ev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construc14</dc:creator>
  <cp:lastModifiedBy>МЭ Молякова Наталья Николаевна</cp:lastModifiedBy>
  <cp:revision>2</cp:revision>
  <cp:lastPrinted>2021-01-20T09:12:00Z</cp:lastPrinted>
  <dcterms:created xsi:type="dcterms:W3CDTF">2021-02-23T09:39:00Z</dcterms:created>
  <dcterms:modified xsi:type="dcterms:W3CDTF">2021-02-23T09:39:00Z</dcterms:modified>
</cp:coreProperties>
</file>