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6C" w:rsidRDefault="00A10A6C">
      <w:pPr>
        <w:pStyle w:val="ConsPlusNormal"/>
        <w:jc w:val="right"/>
        <w:outlineLvl w:val="1"/>
      </w:pPr>
      <w:r>
        <w:t>Приложение N 4</w:t>
      </w:r>
    </w:p>
    <w:p w:rsidR="00A10A6C" w:rsidRDefault="00A10A6C">
      <w:pPr>
        <w:pStyle w:val="ConsPlusNormal"/>
        <w:jc w:val="right"/>
      </w:pPr>
      <w:r>
        <w:t>к муниципальной программе</w:t>
      </w:r>
    </w:p>
    <w:p w:rsidR="00A10A6C" w:rsidRDefault="00A10A6C">
      <w:pPr>
        <w:pStyle w:val="ConsPlusNormal"/>
        <w:jc w:val="right"/>
      </w:pPr>
      <w:r>
        <w:t>города Чебоксары</w:t>
      </w:r>
    </w:p>
    <w:p w:rsidR="00A10A6C" w:rsidRDefault="00A10A6C">
      <w:pPr>
        <w:pStyle w:val="ConsPlusNormal"/>
        <w:jc w:val="right"/>
      </w:pPr>
      <w:r>
        <w:t>"Экономическое развитие</w:t>
      </w:r>
    </w:p>
    <w:p w:rsidR="00A10A6C" w:rsidRDefault="00A10A6C">
      <w:pPr>
        <w:pStyle w:val="ConsPlusNormal"/>
        <w:jc w:val="right"/>
      </w:pPr>
      <w:r>
        <w:t>города Чебоксары"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</w:pPr>
      <w:bookmarkStart w:id="0" w:name="P3620"/>
      <w:bookmarkEnd w:id="0"/>
      <w:r>
        <w:t>ПОДПРОГРАММА</w:t>
      </w:r>
    </w:p>
    <w:p w:rsidR="00A10A6C" w:rsidRDefault="00A10A6C">
      <w:pPr>
        <w:pStyle w:val="ConsPlusTitle"/>
        <w:jc w:val="center"/>
      </w:pPr>
      <w:r>
        <w:t>"РАЗВИТИЕ ПОТРЕБИТЕЛЬСКОГО РЫНКА И СФЕРЫ УСЛУГ</w:t>
      </w:r>
    </w:p>
    <w:p w:rsidR="00A10A6C" w:rsidRDefault="00A10A6C">
      <w:pPr>
        <w:pStyle w:val="ConsPlusTitle"/>
        <w:jc w:val="center"/>
      </w:pPr>
      <w:r>
        <w:t>В ГОРОДЕ ЧЕБОКСАРЫ"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  <w:outlineLvl w:val="2"/>
      </w:pPr>
      <w:r>
        <w:t>ПАСПОРТ ПОДПРОГРАММЫ</w:t>
      </w:r>
    </w:p>
    <w:p w:rsidR="00A10A6C" w:rsidRDefault="00A10A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 xml:space="preserve">-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28.12.2009 N 381-ФЗ "Об основах государственного регулирования торговой деятельности в Российской Федерации";</w:t>
            </w:r>
          </w:p>
          <w:p w:rsidR="00A10A6C" w:rsidRDefault="00E4415B">
            <w:pPr>
              <w:pStyle w:val="ConsPlusNormal"/>
              <w:jc w:val="both"/>
            </w:pPr>
            <w:hyperlink r:id="rId6" w:history="1">
              <w:r w:rsidR="00A10A6C">
                <w:rPr>
                  <w:color w:val="0000FF"/>
                </w:rPr>
                <w:t>Закон</w:t>
              </w:r>
            </w:hyperlink>
            <w:r w:rsidR="00A10A6C">
              <w:t xml:space="preserve"> Чувашской Республики от 13.07.2010 N 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рынках";</w:t>
            </w:r>
          </w:p>
          <w:p w:rsidR="00A10A6C" w:rsidRDefault="00E4415B">
            <w:pPr>
              <w:pStyle w:val="ConsPlusNormal"/>
              <w:jc w:val="both"/>
            </w:pPr>
            <w:hyperlink r:id="rId7" w:history="1">
              <w:r w:rsidR="00A10A6C">
                <w:rPr>
                  <w:color w:val="0000FF"/>
                </w:rPr>
                <w:t>постановление</w:t>
              </w:r>
            </w:hyperlink>
            <w:r w:rsidR="00A10A6C">
              <w:t xml:space="preserve"> Кабинета Министров Чувашской Республики от 26.08.2010 N 277 "Об утверждении Порядка организации ярмарок на территории Чувашской Республики и продажи товаров (выполнения работ, оказания услуг) на них";</w:t>
            </w:r>
          </w:p>
          <w:p w:rsidR="00A10A6C" w:rsidRDefault="00E4415B">
            <w:pPr>
              <w:pStyle w:val="ConsPlusNormal"/>
              <w:jc w:val="both"/>
            </w:pPr>
            <w:hyperlink r:id="rId8" w:history="1">
              <w:r w:rsidR="00A10A6C">
                <w:rPr>
                  <w:color w:val="0000FF"/>
                </w:rPr>
                <w:t>постановление</w:t>
              </w:r>
            </w:hyperlink>
            <w:r w:rsidR="00A10A6C">
              <w:t xml:space="preserve"> Кабинета Министров Чувашской Республики от 14.12.2016 N 531 "Об утверждении нормативов минимальной обеспеченности населения Чувашской Республики площадью торговых объектов";</w:t>
            </w:r>
          </w:p>
          <w:p w:rsidR="00A10A6C" w:rsidRDefault="00E4415B">
            <w:pPr>
              <w:pStyle w:val="ConsPlusNormal"/>
              <w:jc w:val="both"/>
            </w:pPr>
            <w:hyperlink r:id="rId9" w:history="1">
              <w:r w:rsidR="00A10A6C">
                <w:rPr>
                  <w:color w:val="0000FF"/>
                </w:rPr>
                <w:t>постановление</w:t>
              </w:r>
            </w:hyperlink>
            <w:r w:rsidR="00A10A6C">
              <w:t xml:space="preserve"> Кабинета Министров Чувашской Республики от 5 декабря 2018 N 496 "О государственной программе Чувашской Республики "Экономическое развитие Чувашской Республики";</w:t>
            </w:r>
          </w:p>
          <w:p w:rsidR="00A10A6C" w:rsidRDefault="00E4415B">
            <w:pPr>
              <w:pStyle w:val="ConsPlusNormal"/>
              <w:jc w:val="both"/>
            </w:pPr>
            <w:hyperlink r:id="rId10" w:history="1">
              <w:r w:rsidR="00A10A6C">
                <w:rPr>
                  <w:color w:val="0000FF"/>
                </w:rPr>
                <w:t>приказ</w:t>
              </w:r>
            </w:hyperlink>
            <w:r w:rsidR="00A10A6C">
              <w:t xml:space="preserve"> Минэкономразвития Чувашской Республики от 16.11.2010 N 184 "О Порядке разработки и утверждения органами местного самоуправления в Чувашской Республике схемы размещения нестационарных торговых объектов";</w:t>
            </w:r>
          </w:p>
          <w:p w:rsidR="00A10A6C" w:rsidRDefault="00E4415B">
            <w:pPr>
              <w:pStyle w:val="ConsPlusNormal"/>
              <w:jc w:val="both"/>
            </w:pPr>
            <w:hyperlink r:id="rId11" w:history="1">
              <w:r w:rsidR="00A10A6C">
                <w:rPr>
                  <w:color w:val="0000FF"/>
                </w:rPr>
                <w:t>постановление</w:t>
              </w:r>
            </w:hyperlink>
            <w:r w:rsidR="00A10A6C">
              <w:t xml:space="preserve"> администрации города Чебоксары от 14.10.2013 N 3317 "Об утверждении порядка разработки и реализации муниципальных программ города Чебоксары"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Управление по развитию потребительского рынка и предпринимательства администрации города Чебоксары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Отдел торговли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Сектор бытовых услуг администрации города Чебоксары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Чебоксарский городской комитет по управлению имуществом;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информации, общественных связей и молодежной политики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образования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 xml:space="preserve">Управление культуры и развития туризма администрации города </w:t>
            </w:r>
            <w:r>
              <w:lastRenderedPageBreak/>
              <w:t>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физкультуры и спорта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Финансовое управление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Секторы торговли администраций Ленинского, Московского, Калининского районов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МКУ "Земельное управление"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МБУ "Управление территориального планирования"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МБУ "Управление жилищно-коммунального хозяйства и благоустройства города Чебоксары";</w:t>
            </w:r>
          </w:p>
          <w:p w:rsidR="00A10A6C" w:rsidRDefault="00A10A6C">
            <w:pPr>
              <w:pStyle w:val="ConsPlusNormal"/>
              <w:jc w:val="both"/>
            </w:pPr>
            <w:r>
              <w:t>Общественные объединения в сфере потребительского рынка и услуг;</w:t>
            </w:r>
          </w:p>
          <w:p w:rsidR="00A10A6C" w:rsidRDefault="00A10A6C">
            <w:pPr>
              <w:pStyle w:val="ConsPlusNormal"/>
              <w:jc w:val="both"/>
            </w:pPr>
            <w:r>
              <w:t>Юридические лица и индивидуальные предприниматели, осуществляющие деятельность на потребительском рынке и в сфере услуг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Структура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Паспорт Подпрограммы города Чебоксары "Развитие потребительского рынка и сферы услуг в городе Чебоксары";</w:t>
            </w:r>
          </w:p>
          <w:p w:rsidR="00A10A6C" w:rsidRDefault="00E4415B">
            <w:pPr>
              <w:pStyle w:val="ConsPlusNormal"/>
              <w:jc w:val="both"/>
            </w:pPr>
            <w:hyperlink w:anchor="P3725" w:history="1">
              <w:r w:rsidR="00A10A6C">
                <w:rPr>
                  <w:color w:val="0000FF"/>
                </w:rPr>
                <w:t>Разделы I</w:t>
              </w:r>
            </w:hyperlink>
            <w:r w:rsidR="00A10A6C">
              <w:t xml:space="preserve">, </w:t>
            </w:r>
            <w:hyperlink w:anchor="P3758" w:history="1">
              <w:r w:rsidR="00A10A6C">
                <w:rPr>
                  <w:color w:val="0000FF"/>
                </w:rPr>
                <w:t>II</w:t>
              </w:r>
            </w:hyperlink>
            <w:r w:rsidR="00A10A6C">
              <w:t xml:space="preserve">, </w:t>
            </w:r>
            <w:hyperlink w:anchor="P3790" w:history="1">
              <w:r w:rsidR="00A10A6C">
                <w:rPr>
                  <w:color w:val="0000FF"/>
                </w:rPr>
                <w:t>III</w:t>
              </w:r>
            </w:hyperlink>
            <w:r w:rsidR="00A10A6C">
              <w:t xml:space="preserve">, </w:t>
            </w:r>
            <w:hyperlink w:anchor="P3820" w:history="1">
              <w:r w:rsidR="00A10A6C">
                <w:rPr>
                  <w:color w:val="0000FF"/>
                </w:rPr>
                <w:t>IV</w:t>
              </w:r>
            </w:hyperlink>
            <w:r w:rsidR="00A10A6C">
              <w:t xml:space="preserve">, </w:t>
            </w:r>
            <w:hyperlink w:anchor="P3854" w:history="1">
              <w:r w:rsidR="00A10A6C">
                <w:rPr>
                  <w:color w:val="0000FF"/>
                </w:rPr>
                <w:t>V</w:t>
              </w:r>
            </w:hyperlink>
            <w:r w:rsidR="00A10A6C">
              <w:t xml:space="preserve">, </w:t>
            </w:r>
            <w:hyperlink w:anchor="P3865" w:history="1">
              <w:r w:rsidR="00A10A6C">
                <w:rPr>
                  <w:color w:val="0000FF"/>
                </w:rPr>
                <w:t>VI</w:t>
              </w:r>
            </w:hyperlink>
            <w:r w:rsidR="00A10A6C">
              <w:t xml:space="preserve"> Подпрограммы города Чебоксары "Развитие потребительского рынка и сферы услуг в городе Чебоксары":</w:t>
            </w:r>
          </w:p>
          <w:p w:rsidR="00A10A6C" w:rsidRDefault="00A10A6C">
            <w:pPr>
              <w:pStyle w:val="ConsPlusNormal"/>
              <w:jc w:val="both"/>
            </w:pPr>
            <w:r>
              <w:t>совершенствование муниципальной координации и правового регулирования в сфере потребительского рынка и услуг;</w:t>
            </w:r>
          </w:p>
          <w:p w:rsidR="00A10A6C" w:rsidRDefault="00A10A6C">
            <w:pPr>
              <w:pStyle w:val="ConsPlusNormal"/>
              <w:jc w:val="both"/>
            </w:pPr>
            <w:r>
              <w:t>развитие инфраструктуры и оптимальное размещение объектов потребительского рынка и сферы услуг;</w:t>
            </w:r>
          </w:p>
          <w:p w:rsidR="00A10A6C" w:rsidRDefault="00A10A6C">
            <w:pPr>
              <w:pStyle w:val="ConsPlusNormal"/>
              <w:jc w:val="both"/>
            </w:pPr>
            <w:r>
              <w:t>развитие конкуренции в сфере потребительского рынка и сферы услуг;</w:t>
            </w:r>
          </w:p>
          <w:p w:rsidR="00A10A6C" w:rsidRDefault="00A10A6C">
            <w:pPr>
              <w:pStyle w:val="ConsPlusNormal"/>
              <w:jc w:val="both"/>
            </w:pPr>
            <w:r>
              <w:t>развитие кадрового потенциала организаций потребительского рынка и сферы услуг;</w:t>
            </w:r>
          </w:p>
          <w:p w:rsidR="00A10A6C" w:rsidRDefault="00E4415B">
            <w:pPr>
              <w:pStyle w:val="ConsPlusNormal"/>
              <w:jc w:val="both"/>
            </w:pPr>
            <w:hyperlink w:anchor="P3890" w:history="1">
              <w:r w:rsidR="00A10A6C">
                <w:rPr>
                  <w:color w:val="0000FF"/>
                </w:rPr>
                <w:t>приложение N 1</w:t>
              </w:r>
            </w:hyperlink>
            <w:r w:rsidR="00A10A6C">
              <w:t xml:space="preserve"> к Подпрограмме "Сведения о важнейших целевых индикаторах и показателях Подпрограммы муниципальной программы города Чебоксары и их значениях";</w:t>
            </w:r>
          </w:p>
          <w:p w:rsidR="00A10A6C" w:rsidRDefault="00E4415B">
            <w:pPr>
              <w:pStyle w:val="ConsPlusNormal"/>
              <w:jc w:val="both"/>
            </w:pPr>
            <w:hyperlink w:anchor="P3978" w:history="1">
              <w:r w:rsidR="00A10A6C">
                <w:rPr>
                  <w:color w:val="0000FF"/>
                </w:rPr>
                <w:t>приложение N 2</w:t>
              </w:r>
            </w:hyperlink>
            <w:r w:rsidR="00A10A6C">
              <w:t xml:space="preserve"> к Подпрограмме "Ресурсное обеспечение реализации Подпрограммы муниципальной программы за счет всех средств источников финансирования"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Повышение социально-экономической эффективности потребительского рынка и сферы услуг;</w:t>
            </w:r>
          </w:p>
          <w:p w:rsidR="00A10A6C" w:rsidRDefault="00A10A6C">
            <w:pPr>
              <w:pStyle w:val="ConsPlusNormal"/>
              <w:jc w:val="both"/>
            </w:pPr>
            <w: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Оптимизация механизмов муниципальной координации и правового регулирования в сфере потребительского рынка и услуг;</w:t>
            </w:r>
          </w:p>
          <w:p w:rsidR="00A10A6C" w:rsidRDefault="00A10A6C">
            <w:pPr>
              <w:pStyle w:val="ConsPlusNormal"/>
              <w:jc w:val="both"/>
            </w:pPr>
            <w:r>
              <w:t>обеспечение доступности услуг торговли, общественного питания и бытового обслуживания населения;</w:t>
            </w:r>
          </w:p>
          <w:p w:rsidR="00A10A6C" w:rsidRDefault="00A10A6C">
            <w:pPr>
              <w:pStyle w:val="ConsPlusNormal"/>
              <w:jc w:val="both"/>
            </w:pPr>
            <w:r>
              <w:t>развитие инфраструктуры и оптимальное размещение объектов потребительского рынка и сферы услуг;</w:t>
            </w:r>
          </w:p>
          <w:p w:rsidR="00A10A6C" w:rsidRDefault="00A10A6C">
            <w:pPr>
              <w:pStyle w:val="ConsPlusNormal"/>
              <w:jc w:val="both"/>
            </w:pPr>
            <w: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A10A6C" w:rsidRDefault="00A10A6C">
            <w:pPr>
              <w:pStyle w:val="ConsPlusNormal"/>
              <w:jc w:val="both"/>
            </w:pPr>
            <w:r>
              <w:t>повышение уровня и качества обслуживания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 xml:space="preserve">Важнейшие целевые показатели и </w:t>
            </w:r>
            <w:r>
              <w:lastRenderedPageBreak/>
              <w:t>индикаторы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- К 2027 году предусматривается достижение следующих целевых индикаторов и показателей:</w:t>
            </w:r>
          </w:p>
          <w:p w:rsidR="00A10A6C" w:rsidRDefault="00A10A6C">
            <w:pPr>
              <w:pStyle w:val="ConsPlusNormal"/>
              <w:jc w:val="both"/>
            </w:pPr>
            <w:r>
              <w:lastRenderedPageBreak/>
              <w:t>увеличение оборота розничной торговли на душу населения - 118,90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обеспеченность населения площадью нестационарных торговых объектов на 10000 жителей - 7,3 единиц;</w:t>
            </w:r>
          </w:p>
          <w:p w:rsidR="00A10A6C" w:rsidRDefault="00A10A6C">
            <w:pPr>
              <w:pStyle w:val="ConsPlusNormal"/>
              <w:jc w:val="both"/>
            </w:pPr>
            <w:r>
              <w:t>открытие новых объектов торговли, общественного питания, бытовых услуг - 170 единиц;</w:t>
            </w:r>
          </w:p>
          <w:p w:rsidR="00A10A6C" w:rsidRDefault="00A10A6C">
            <w:pPr>
              <w:pStyle w:val="ConsPlusNormal"/>
              <w:jc w:val="both"/>
            </w:pPr>
            <w:r>
              <w:t>создание новых рабочих мест на объектах торговли, общественного питания, бытовых услуг - 730 единиц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- 2020 - 2026 годы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Прогнозируемые объемы финансирования на реализацию мероприятий Подпрограммы в 2020 - 2026 годах составляют 1847800,0 тысяч рублей, в том числе:</w:t>
            </w:r>
          </w:p>
          <w:p w:rsidR="00A10A6C" w:rsidRDefault="00A10A6C">
            <w:pPr>
              <w:pStyle w:val="ConsPlusNormal"/>
              <w:jc w:val="both"/>
            </w:pPr>
            <w:r>
              <w:t>в 2020 году - 251000,00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2021 году - 251000,00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2022 году - 261000,00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2023 году - 261200,00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2024 году - 271200,00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2025 году - 271200,00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2026 году - 281200,00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из них средства:</w:t>
            </w:r>
          </w:p>
          <w:p w:rsidR="00A10A6C" w:rsidRDefault="00A10A6C">
            <w:pPr>
              <w:pStyle w:val="ConsPlusNormal"/>
              <w:jc w:val="both"/>
            </w:pPr>
            <w:r>
              <w:t>федерального бюджета в 2020 - 2026 годах составляют в сумме 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республиканского бюджета Чувашской Республики в 2020 - 2026 годах составляют 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бюджета города Чебоксары - 800,00 тысяч рублей, в том числе:</w:t>
            </w:r>
          </w:p>
          <w:p w:rsidR="00A10A6C" w:rsidRDefault="00A10A6C">
            <w:pPr>
              <w:pStyle w:val="ConsPlusNormal"/>
              <w:jc w:val="both"/>
            </w:pPr>
            <w:r>
              <w:t>в 2020 году - 0,00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2021 году - 0,00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2022 году - 0,00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2023 году - 200,00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2024 году - 200,00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2025 году - 200,00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2026 году - 200,00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внебюджетных источников - 1847000,00 тысяч рублей, в том числе:</w:t>
            </w:r>
          </w:p>
          <w:p w:rsidR="00A10A6C" w:rsidRDefault="00A10A6C">
            <w:pPr>
              <w:pStyle w:val="ConsPlusNormal"/>
              <w:jc w:val="both"/>
            </w:pPr>
            <w:r>
              <w:t>в 2020 году - 251000,00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2021 году - 251000,00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2022 году - 261000,00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2023 году - 261000,00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2024 году - 271000,00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2025 году - 271000,00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в 2026 году - 281000,00 тысяч рублей;</w:t>
            </w:r>
          </w:p>
          <w:p w:rsidR="00A10A6C" w:rsidRDefault="00A10A6C">
            <w:pPr>
              <w:pStyle w:val="ConsPlusNormal"/>
              <w:jc w:val="both"/>
            </w:pPr>
            <w:r>
              <w:t>Объем финансирования Подпрограммы уточняется при формировании бюджета города Чебоксары на очередной финансовый год и плановый период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t>- В результате реализации мероприятий Подпрограммы ожидается:</w:t>
            </w:r>
          </w:p>
          <w:p w:rsidR="00A10A6C" w:rsidRDefault="00A10A6C">
            <w:pPr>
              <w:pStyle w:val="ConsPlusNormal"/>
              <w:jc w:val="both"/>
            </w:pPr>
            <w: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A10A6C" w:rsidRDefault="00A10A6C">
            <w:pPr>
              <w:pStyle w:val="ConsPlusNormal"/>
              <w:jc w:val="both"/>
            </w:pPr>
            <w:r>
              <w:t>увеличение инвестиций в сферу потребительского рынка и услуг;</w:t>
            </w:r>
          </w:p>
          <w:p w:rsidR="00A10A6C" w:rsidRDefault="00A10A6C">
            <w:pPr>
              <w:pStyle w:val="ConsPlusNormal"/>
              <w:jc w:val="both"/>
            </w:pPr>
            <w:r>
              <w:lastRenderedPageBreak/>
              <w:t>увеличение оборота розничной торговли на душу населения в 1,9 раза</w:t>
            </w:r>
          </w:p>
        </w:tc>
      </w:tr>
      <w:tr w:rsidR="00A10A6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A6C" w:rsidRDefault="00A10A6C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Подпрограммы возложен на ответственного исполнителя Подпрограммы. Ответственный исполнитель и соисполнители Подпрограммы осуществляют подготовку отчетов о выполнении программных мероприятий Подпрограммы.</w:t>
            </w:r>
          </w:p>
          <w:p w:rsidR="00A10A6C" w:rsidRDefault="00A10A6C">
            <w:pPr>
              <w:pStyle w:val="ConsPlusNormal"/>
              <w:jc w:val="both"/>
            </w:pPr>
            <w:r>
              <w:t xml:space="preserve">Информация о ходе и полноте выполнения программных мероприятий представляется ответственным исполнителем Подпрограммы в отдел экономики, прогнозирования, социально-экономического развития администрации города Чебоксары ежеквартально не позднее 15 числа месяца, следующего за отчетным кварталом, по форме согласно </w:t>
            </w:r>
            <w:hyperlink r:id="rId12" w:history="1">
              <w:r>
                <w:rPr>
                  <w:color w:val="0000FF"/>
                </w:rPr>
                <w:t>приложениям N 4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N 5</w:t>
              </w:r>
            </w:hyperlink>
            <w:r>
              <w:t xml:space="preserve"> к Порядку разработки и реализации муниципальных программ города Чебоксары</w:t>
            </w:r>
          </w:p>
        </w:tc>
      </w:tr>
    </w:tbl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  <w:outlineLvl w:val="2"/>
      </w:pPr>
      <w:r>
        <w:t>ВВЕДЕНИЕ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ind w:firstLine="540"/>
        <w:jc w:val="both"/>
      </w:pPr>
      <w:proofErr w:type="gramStart"/>
      <w:r>
        <w:t xml:space="preserve">Подпрограмма "Развитие потребительского рынка и сферы услуг в городе Чебоксары" муниципальной программы города Чебоксары "Экономическое развитие города Чебоксары" (далее - Подпрограмма) разработана в рамках реализации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5" w:history="1">
        <w:r>
          <w:rPr>
            <w:color w:val="0000FF"/>
          </w:rPr>
          <w:t>Закона</w:t>
        </w:r>
      </w:hyperlink>
      <w:r>
        <w:t xml:space="preserve"> Чувашской Республики от 13.07.2010 N 39 "О государственном регулировании торговой деятельности в Чувашской Республике и о внесении изменений в статью</w:t>
      </w:r>
      <w:proofErr w:type="gramEnd"/>
      <w:r>
        <w:t xml:space="preserve"> </w:t>
      </w:r>
      <w:proofErr w:type="gramStart"/>
      <w:r>
        <w:t xml:space="preserve">1 Закона Чувашской Республики "О розничных рынках",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26.08.2010 N 277 "Об утверждении Порядка организации ярмарок на территории Чувашской Республики и продажи товаров (выполнения работ, оказания услуг) на них",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14.12.2016 N 531 "Об утверждении нормативов минимальной обеспеченности населения Чувашской Республики площадью торговых объектов",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</w:t>
      </w:r>
      <w:proofErr w:type="gramEnd"/>
      <w:r>
        <w:t xml:space="preserve"> </w:t>
      </w:r>
      <w:proofErr w:type="gramStart"/>
      <w:r>
        <w:t xml:space="preserve">05.12.2018 N 496 "О государственной программе Чувашской Республики "Экономическое развитие Чувашской Республики",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Минэкономразвития Чувашской Республики от 16.11.2010 N 184 "О Порядке разработки и утверждения органами местного самоуправления в Чувашской Республике схемы размещения нестационарных торговых объектов",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Чебоксары от 14.10.2013 N 3317 "Об утверждении порядка разработки и реализации муниципальных программ города Чебоксары" и в целях повышения социально-экономической эффективности</w:t>
      </w:r>
      <w:proofErr w:type="gramEnd"/>
      <w:r>
        <w:t xml:space="preserve"> потребительского рынка и сферы услуг, создания условий для наиболее полного удовлетворения спроса населения на качественные товары и услуги.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Подпрограмма определяет цели, задачи и основные мероприятия по развитию потребительского рынка в городе Чебоксары на 2020 - 2026 годы.</w:t>
      </w:r>
    </w:p>
    <w:p w:rsidR="00A10A6C" w:rsidRDefault="00A10A6C">
      <w:pPr>
        <w:pStyle w:val="ConsPlusNormal"/>
        <w:spacing w:before="220"/>
        <w:ind w:firstLine="540"/>
        <w:jc w:val="both"/>
      </w:pPr>
      <w:proofErr w:type="gramStart"/>
      <w:r>
        <w:t>Подпрограмма содержит перечень и механизм реализации мероприятий по развитию потребительского рынка города Чебоксары до 2027 года, необходимых для устойчивого социально-экономического развития города Чебоксары, изменения качественного состояния потребительского рынка в городе Чебоксары до 2027 года, удовлетворения потребности населения в высококачественных потребительских товарах и услугах по доступным ценам и развития современных форм обслуживания.</w:t>
      </w:r>
      <w:proofErr w:type="gramEnd"/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При ее разработке использованы статистические данные, представленные Территориальным органом Федеральной службы государственной статистики по Чувашской Республике за 2018 год, прогнозные показатели до 2027 года, информация организаций и индивидуальных предпринимателей, предложения структурных подразделений администрации </w:t>
      </w:r>
      <w:r>
        <w:lastRenderedPageBreak/>
        <w:t>города Чебоксары.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  <w:outlineLvl w:val="2"/>
      </w:pPr>
      <w:bookmarkStart w:id="1" w:name="P3725"/>
      <w:bookmarkEnd w:id="1"/>
      <w:r>
        <w:t>Раздел I. ОБЩАЯ ХАРАКТЕРИСТИКА СФЕРЫ РЕАЛИЗАЦИИ</w:t>
      </w:r>
    </w:p>
    <w:p w:rsidR="00A10A6C" w:rsidRDefault="00A10A6C">
      <w:pPr>
        <w:pStyle w:val="ConsPlusTitle"/>
        <w:jc w:val="center"/>
      </w:pPr>
      <w:r>
        <w:t>ПОДПРОГРАММЫ, ФОРМУЛИРОВКА ОСНОВНЫХ ПРОБЛЕМ (ЗАДАЧ)</w:t>
      </w:r>
    </w:p>
    <w:p w:rsidR="00A10A6C" w:rsidRDefault="00A10A6C">
      <w:pPr>
        <w:pStyle w:val="ConsPlusTitle"/>
        <w:jc w:val="center"/>
      </w:pPr>
      <w:r>
        <w:t>В УКАЗАННОЙ СФЕРЕ, АНАЛИЗ ПРИЧИН ЕЕ ВОЗНИКНОВЕНИЯ,</w:t>
      </w:r>
    </w:p>
    <w:p w:rsidR="00A10A6C" w:rsidRDefault="00A10A6C">
      <w:pPr>
        <w:pStyle w:val="ConsPlusTitle"/>
        <w:jc w:val="center"/>
      </w:pPr>
      <w:r>
        <w:t>ПРОГНОЗ ЕЕ РАЗВИТИЯ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ind w:firstLine="540"/>
        <w:jc w:val="both"/>
      </w:pPr>
      <w:r>
        <w:t>Сфера потребительского рынка и услуг города Чебоксары является крупнейшей в Чувашской Республике, характеризуется развитой сетью объектов розничной торговли, общественного питания, бытового обслуживания.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 состоянию на 1 января 2019 года на территории города Чебоксары функционируют 3619 объектов потребительского рынка, структура которых такова: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1500 объектов стационарной розничной торговли;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533 предприятий общественного питания;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261 нестационарных торговых объектов (киосков и павильонов);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196 объектов сезонной торговли;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53 предприятия оптовой торговли;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2 ярмарки, проводимые на постоянной основе;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1074 предприятия бытового обслуживания.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Оборот розничной торговли по </w:t>
      </w:r>
      <w:proofErr w:type="gramStart"/>
      <w:r>
        <w:t>организациям всех видов деятельности, не относящимся к субъектам малого предпринимательства за 2018 год в городе Чебоксары составил</w:t>
      </w:r>
      <w:proofErr w:type="gramEnd"/>
      <w:r>
        <w:t xml:space="preserve"> 44278,2 млн. рублей и по сравнению с 2017 годом в сопоставимых ценах увеличился на 15,5%.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Среднемесячная заработная плата в предприятиях оптово-розничной торговли за 2018 год составила 21667,4 рублей. Темп роста по сравнению с 2017 годом составил 106,7%.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городе Чебоксары продолжается развитие сетевых организаций: международные, федеральные, региональные, местные. Их участие в создании современных торговых предприятий позволило решить проблему обеспечения населения товарами широкого ассортимента и по доступным ценам. Сетевые операторы потребительского рынка открывают магазины различных форматов, ориентированные на разные потребительские группы.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В отрасли активно внедряются </w:t>
      </w:r>
      <w:proofErr w:type="gramStart"/>
      <w:r>
        <w:t>бизнес-технологии</w:t>
      </w:r>
      <w:proofErr w:type="gramEnd"/>
      <w:r>
        <w:t xml:space="preserve"> - кассовые терминалы, компьютеризированный учет движения товаров, передовые рекламные технологии, которые применяются при организации торгового процесса на предприятиях розничной торговли.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 целью удобства и оперативности обслуживания покупателей около 90,0% объектов розничной торговли и 69,0% объектов общественного питания используют POS-терминалы для расчетов.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целях предупреждения хищений и террористических актов, а также любых противоправных действий на территориях, прилегающих к предприятиям стационарной торговли города Чебоксары, ведется работа по оснащению данных предприятий камерами видеонаблюдения. В настоящее время 1111 объектов торговли и 370 предприятий общественного питания оборудованы камерами видеонаблюдения.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Количество предприятий торговли, оборудованных пандусами для лиц с ограниченными </w:t>
      </w:r>
      <w:r>
        <w:lastRenderedPageBreak/>
        <w:t>возможностями и маломобильных лиц, составляет 715 объектов торговли и 230 предприятий общественного питания, что составляет 47,6% и 43,6% от общего количества объектов соответственно.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Последовательно внедряются инновационные формы и методы торговли с эффективными технологиями продаж в формате самообслуживания. На данный период в городе Чебоксары функционирует порядка 1000 предприятий потребительского рынка.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Ситуация по ценам на продовольственном рынке города находится в центре внимания администрации города Чебоксары. В целях проведения еженедельного мониторинга розничных цен на социально значимые продукты питания в организациях розничной торговли города распоряжением администрации функционирует рабочая группа. В настоящее время сбор розничных цен проводится по 15 объектам и по 40 наименованиям социально значимых товаров.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ст.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 размещение нестационарных торговых объектов на земельных участках, находящихся в муниципальной собственности, осуществляется в соответствии со Схемой размещения нестационарных торговых объектов, которая утверждена решением Чебоксарского городского Собрания депутатов. На территории города согласно Схеме размещения нестационарных торговых объектов расположено 140 киосков, 178 павильонов, 12 </w:t>
      </w:r>
      <w:proofErr w:type="spellStart"/>
      <w:r>
        <w:t>молокоавтоматов</w:t>
      </w:r>
      <w:proofErr w:type="spellEnd"/>
      <w:r>
        <w:t>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Важное место на потребительском рынке города занимают услуги общественного питания, где приоритетным направлением продолжает оставаться развитие сети индустрии питания, расширение классификации услуг, обеспечивающих удовлетворение потребностей населения любого уровня, а также качество и безопасность предоставляемых услуг. На осуществление строительства и реконструкцию объектов общественного питания привлечено около 395,0 млн. рублей частных инвестиций.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Оборот общественного питания по организациям всех видов деятельности, не относящимся к субъектам малого предпринимательства города Чебоксары, за 2018 год составил 1483,0 млн. рублей и по сравнению с 2017 годом в сопоставимых ценах увеличился на 16,4%.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Администрацией города Чебоксары принят административный регламент предоставления муниципальной услуги "Выдача разрешений на право организации розничного рынка".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В 2018 году на территории города действовали 2 ярмарки. Принято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"Об утверждении перечня ярмарок, планируемых к проведению в 2019 году на территории города Чебоксары", где предусмотрено проведение 6 ярмарок в течение года.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2018 году организованы "Месячники по продаже сельскохозяйственной продукции", ярмарки "Выходного дня" и продолжена работа торговых навесов для горожан, реализующих сельскохозяйственную продукцию собственного подворья. По городу задействована 21 площадка.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Согласно реестру действующих лицензий на розничную продажу алкогольной продукции на территории города Чебоксары имеют 277 организаций, реализующих алкогольную продукцию.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 состоянию на 01.01.2019 в городе функционирует 1074 предприятия бытового обслуживания населения. Прирост 34 предприятий, создано 65 новых рабочих мест. Прирост числа объектов по оказанию бытовых услуг в 2018 году по отношению к 2017 году составил 0,75%.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На 01.01.2019 в отрасли бытового обслуживания населения создано 3942 рабочих места, что выше норматива обеспеченности рабочими местами в 3,8 раза.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  <w:outlineLvl w:val="2"/>
      </w:pPr>
      <w:bookmarkStart w:id="2" w:name="P3758"/>
      <w:bookmarkEnd w:id="2"/>
      <w:r>
        <w:t>Раздел II. ПРИОРИТЕТЫ, ЦЕЛИ И ЗАДАЧИ, ЦЕЛЕВЫЕ ИНДИКАТОРЫ</w:t>
      </w:r>
    </w:p>
    <w:p w:rsidR="00A10A6C" w:rsidRDefault="00A10A6C">
      <w:pPr>
        <w:pStyle w:val="ConsPlusTitle"/>
        <w:jc w:val="center"/>
      </w:pPr>
      <w:r>
        <w:lastRenderedPageBreak/>
        <w:t>И ПОКАЗАТЕЛИ, ОЖИДАЕМЫЕ КОНЕЧНЫЕ РЕЗУЛЬТАТЫ ПОДПРОГРАММЫ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ind w:firstLine="540"/>
        <w:jc w:val="both"/>
      </w:pPr>
      <w:proofErr w:type="gramStart"/>
      <w:r>
        <w:t xml:space="preserve">Приоритеты государственной политики в сфере потребительского рынка и услуг определены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Чувашской Республики от 13.07.2010 N 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рынках".</w:t>
      </w:r>
      <w:proofErr w:type="gramEnd"/>
    </w:p>
    <w:p w:rsidR="00A10A6C" w:rsidRDefault="00A10A6C">
      <w:pPr>
        <w:pStyle w:val="ConsPlusNormal"/>
        <w:spacing w:before="220"/>
        <w:ind w:firstLine="540"/>
        <w:jc w:val="both"/>
      </w:pPr>
      <w:r>
        <w:t>Приоритетные направления развития потребительского рынка и сферы услуг: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обеспечение развития розничной торговли;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совершенствование системы организации нестационарной, ярмарочной торговли;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обеспечение качества и безопасности реализуемых товаров и оказываемых услуг;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повышение профессионального мастерства работников и культуры обслуживания в организациях потребительского рынка;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развитие новых видов услуг, ориентированных на спрос населения, которые обеспечат поступательное развитие розничной торговли в целом.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Основными целями Подпрограммы являются повышение социально-экономической эффективности потребительского рынка и сферы услуг, создание условий для наиболее полного удовлетворения спроса населения на качественные товары и услуги.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Для достижения целей Подпрограммы необходимо выполнение следующих задач: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оптимизация механизмов муниципальной координации и правового регулирования в сфере потребительского рынка и услуг;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обеспечение доступности услуг торговли, общественного питания и бытового обслуживания населения;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развитие инфраструктуры и оптимальное размещение объектов потребительского рынка и сферы услуг;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повышение конкурентоспособности субъектов малого и среднего предпринимательства на потребительском рынке;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развитие кадрового потенциала организаций потребительского рынка и сферы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Программное решение указанных целей и задач позволит обеспечить качественно новый, более цивилизованный облик потребительского рынка и сферы услуг,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Осуществление Подпрограммных целей предлагается обеспечить проведением комплекса мероприятий, объединенных в разделы в соответствии с задачами и целевыми индикаторами реализации настоящей Подпрограммы.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следующих важнейших целевых индикаторов и показателей: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lastRenderedPageBreak/>
        <w:t>увеличение оборота розничной торговли на душу населения - 118,90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обеспечение населения: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площадью нестационарных торговых объектов на 10000 жителей - 7,3 единиц;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открытие новых объектов торговли, общественного питания, бытовых услуг - 170 единиц;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создание новых рабочих мест на объектах торговли, общественного питания, бытовых услуг - 730 единиц.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позволят: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повысить качество жизни населения путем повышения качества оказываемых услуг розничной торговли, общественного питания и бытового обслуживания населения;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увеличить инвестиции в сферу потребительского рынка и услуг;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увеличить оборот розничной торговли на душу населения в 1,9 раза.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Сведения о важнейших целевых индикаторах и показателях ожидаемой эффективности реализации Подпрограммы приведены в </w:t>
      </w:r>
      <w:hyperlink w:anchor="P3890" w:history="1">
        <w:r>
          <w:rPr>
            <w:color w:val="0000FF"/>
          </w:rPr>
          <w:t>приложении N 1</w:t>
        </w:r>
      </w:hyperlink>
      <w:r>
        <w:t xml:space="preserve"> к настоящей Подпрограмме.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  <w:outlineLvl w:val="2"/>
      </w:pPr>
      <w:bookmarkStart w:id="3" w:name="P3790"/>
      <w:bookmarkEnd w:id="3"/>
      <w:r>
        <w:t>Раздел III. ОБОБЩЕННАЯ ХАРАКТЕРИСТИКА ОСНОВНЫХ МЕРОПРИЯТИЙ</w:t>
      </w:r>
    </w:p>
    <w:p w:rsidR="00A10A6C" w:rsidRDefault="00A10A6C">
      <w:pPr>
        <w:pStyle w:val="ConsPlusTitle"/>
        <w:jc w:val="center"/>
      </w:pPr>
      <w:r>
        <w:t>И МЕРОПРИЯТИЙ ПОДПРОГРАММЫ, СРОКОВ И ЭТАПОВ ИХ РЕАЛИЗАЦИИ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ind w:firstLine="540"/>
        <w:jc w:val="both"/>
      </w:pPr>
      <w: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Подпрограммой предусмотрены 4 (четыре) основных мероприятий.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Основное мероприятие 1. Совершенствование муниципальной координации и правового регулирования в сфере потребительского рынка и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1.1. Совершенствование нормативно-правового обеспечения в сфере потребительского рынка и услуг, внесение необходимых изменений в нормативные правовые акты города Чебоксары.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1.2. Организация проведения мониторинга розничных цен и представленности социально значимых продовольственных товаров.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1.3. Организация проведения мониторинга наличия в продаже в организациях розничной торговли продукции товаропроизводителей, осуществляющих деятельность на территории Чувашской Республики.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1.4. Обновление информации о состоянии и перспективах развития сферы потребительского рынка и услуг на официальном сайте города Чебоксары в информационно-телекоммуникационной сети "Интернет".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1.5. Проведение ежегодного анализа обеспеченности населения торговыми площадями, посадочными местами в предприятиях общественного питания и рабочими местами в организациях бытового обслуживания.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lastRenderedPageBreak/>
        <w:t>Мероприятие 1.6. Формирование и введение реестров организаций торговли, общественного питания, бытовых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Основное мероприятие 2. Развитие инфраструктуры и оптимальное размещение объектов потребительского рынка и в сфере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2.1. Открытие, реконструкция и модернизация объектов торговли, общественного питания, бытовых услуг, в том числе оснащение их электронными терминалами для безналичного расчета.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2.2. Разработка и утверждение (усовершенствование) схемы размещения нестационарных торговых объектов с учетом нормативов минимальной обеспеченности населения площадью торговых объектов.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2.3. Обеспечение повышения доступности объектов торговли, общественного питания, бытовых услуг для инвалидов и других маломобильных групп населения.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Основное мероприятие 3. Развитие конкуренции в сфере потребительского рынка и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3.1. Организация и проведение выставок, ярмарок товаров и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3.2. Расширение сети объектов потребительского рынка с экологически чистой и безопасной продукцией.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Основное мероприятие 4. Развитие кадрового потенциала организаций потребительского рынка и сферы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4.1. Организация семинаров, круглых столов, совещаний, форумов и иных мероприятий, направленных на повышение профессионализма работников в сфере потребительского рынка и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4.2. Организация участия специалистов сферы торговли, общественного питания и бытового обслуживания населения в международных, всероссийских, региональных и городских конкурсах, смотрах профессионального мастерства.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Мероприятие 4.3. Организация городских фестивалей и конкурсов среди работников и организаций торговли, общественного питания, бытовых услуг.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Перечень мероприятий по реализации Подпрограммы приведен в </w:t>
      </w:r>
      <w:hyperlink w:anchor="P3978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Срок и этапы реализации Подпрограммы будут осуществляться в 2020 - 2026 годах.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  <w:outlineLvl w:val="2"/>
      </w:pPr>
      <w:bookmarkStart w:id="4" w:name="P3820"/>
      <w:bookmarkEnd w:id="4"/>
      <w:r>
        <w:t>Раздел IV. ОБОСНОВАНИЕ ОБЪЕМА ФИНАНСОВЫХ СРЕДСТВ РЕСУРСОВ,</w:t>
      </w:r>
    </w:p>
    <w:p w:rsidR="00A10A6C" w:rsidRDefault="00A10A6C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ind w:firstLine="540"/>
        <w:jc w:val="both"/>
      </w:pPr>
      <w:r>
        <w:t xml:space="preserve">Расходы реализации Подпрограммы формируются за счет средств федерального бюджета, бюджета Чувашской Республики, бюджета города Чебоксары и средств внебюджетных </w:t>
      </w:r>
      <w:r>
        <w:lastRenderedPageBreak/>
        <w:t>источников.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Общий объем финансового обеспечения на реализацию мероприятий Подпрограммы в 2020 - 2026 годах составляет 1847800,0 тысяч рублей, в том числе: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2020 году - 251000,00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2021 году - 251000,00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2022 году - 261000,00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2023 году - 261200,00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2024 году - 271200,00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2025 году - 271200,00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2026 году - 281200,00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федерального бюджета в 2020 - 2026 годах составляют в сумме 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бюджета Чувашской Республики в 2020 - 2026 годах составляют в сумме 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бюджета города Чебоксары - 800,00 тысяч рублей, в том числе: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2020 году - 0,00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2021 году - 0,00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2022 году - 0,00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2023 году - 200,00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2024 году - 200,00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2025 году - 200,00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2026 году - 200,00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внебюджетных источников - 1847000,00 тысяч рублей, в том числе: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2020 году - 251000,00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2021 году - 251000,00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2022 году - 261000,00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2023 году - 261000,00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2024 году - 271000,00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2025 году - 271000,00 тысяч рублей;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2026 году - 281000,00 тысяч рублей.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lastRenderedPageBreak/>
        <w:t xml:space="preserve">Сведения о финансовом обеспечении Подпрограммы, основных мероприятий и мероприятий Подпрограммы по годам ее реализации представлены в </w:t>
      </w:r>
      <w:hyperlink w:anchor="P3978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  <w:outlineLvl w:val="2"/>
      </w:pPr>
      <w:bookmarkStart w:id="5" w:name="P3854"/>
      <w:bookmarkEnd w:id="5"/>
      <w:r>
        <w:t>Раздел V. АНАЛИЗ РИСКОВ РЕАЛИЗАЦИИ ПОДПРОГРАММЫ</w:t>
      </w:r>
    </w:p>
    <w:p w:rsidR="00A10A6C" w:rsidRDefault="00A10A6C">
      <w:pPr>
        <w:pStyle w:val="ConsPlusTitle"/>
        <w:jc w:val="center"/>
      </w:pPr>
      <w:r>
        <w:t>И ОПИСАНИЕ МЕР УПРАВЛЕНИЯ РИСКАМИ ПОДПРОГРАММЫ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ind w:firstLine="540"/>
        <w:jc w:val="both"/>
      </w:pPr>
      <w:r>
        <w:t>На реализацию мероприятий Подпрограммы будут оказывать воздействие такие факторы, как нестабильность и подверженность внешним воздействиям механизмов рыночной экономики,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В качестве мер, снижающих степень риска в ходе реализации Подпрограммы, рассматриваются: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проведение мониторинга состояния рынка товаров и услуг;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создание систем контроля качества и безопасности товаров и услуг;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систематический мониторинг реализации Подпрограммы, при необходимости корректировка показателей и мероприятий Подпрограммы;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развитие сети социально ориентированных предприятий торговли, общественного питания, бытовых услуг, улучшение организации их товароснабжения и логистики, координация развития системы обслуживания социально незащищенных категорий граждан с предоставлением скидок на товары и услуги;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грамотная кадровая политика, включая подготовку квалифицированных специалистов для всех направлений реализации Подпрограммы.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  <w:outlineLvl w:val="2"/>
      </w:pPr>
      <w:bookmarkStart w:id="6" w:name="P3865"/>
      <w:bookmarkEnd w:id="6"/>
      <w:r>
        <w:t>Раздел VI. МЕХАНИЗМ РЕАЛИЗАЦИИ ПОДПРОГРАММЫ, ОРГАНИЗАЦИЯ</w:t>
      </w:r>
    </w:p>
    <w:p w:rsidR="00A10A6C" w:rsidRDefault="00A10A6C">
      <w:pPr>
        <w:pStyle w:val="ConsPlusTitle"/>
        <w:jc w:val="center"/>
      </w:pPr>
      <w:r>
        <w:t xml:space="preserve">УПРАВЛЕНИЯ И </w:t>
      </w:r>
      <w:proofErr w:type="gramStart"/>
      <w:r>
        <w:t>КОНТРОЛЬ ЗА</w:t>
      </w:r>
      <w:proofErr w:type="gramEnd"/>
      <w:r>
        <w:t xml:space="preserve"> ХОДОМ РЕАЛИЗАЦИИ ПОДПРОГРАММЫ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ind w:firstLine="540"/>
        <w:jc w:val="both"/>
      </w:pPr>
      <w:r>
        <w:t>Механизм реализации Подпрограммы предусматривает взаимодействие всех структурных подразделений администрации города Чебоксары, индивидуальных предпринимателей, организаций всех форм собственности, участвующих в реализации конкретных мероприятий.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Одним из основных механизмов реализации Подпрограммы должно стать обеспечение развития различных форм муниципального частного партнерства.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К участию в реализации Подпрограммы могут быть привлечены общественные объединения.</w:t>
      </w:r>
    </w:p>
    <w:p w:rsidR="00A10A6C" w:rsidRDefault="00A10A6C">
      <w:pPr>
        <w:pStyle w:val="ConsPlusNormal"/>
        <w:spacing w:before="220"/>
        <w:ind w:firstLine="540"/>
        <w:jc w:val="both"/>
      </w:pPr>
      <w:proofErr w:type="gramStart"/>
      <w:r>
        <w:t>В процессе реализации Подпрограммы, в случае изменения законодательства Российской Федерации, законодательства Чувашской Республики, муниципальных правовых актов города Чебоксары, ответственный исполнитель (по согласованию с соисполнителями) принимает решение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  <w:proofErr w:type="gramEnd"/>
    </w:p>
    <w:p w:rsidR="00A10A6C" w:rsidRDefault="00A10A6C">
      <w:pPr>
        <w:pStyle w:val="ConsPlusNormal"/>
        <w:spacing w:before="220"/>
        <w:ind w:firstLine="540"/>
        <w:jc w:val="both"/>
      </w:pPr>
      <w:r>
        <w:t>В зависимости от меняющихся условий отдельные мероприятия Подпрограммы могут быть скорректированы для более эффективного решения поставленных задач.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Управление, а также текущий </w:t>
      </w:r>
      <w:proofErr w:type="gramStart"/>
      <w:r>
        <w:t>контроль за</w:t>
      </w:r>
      <w:proofErr w:type="gramEnd"/>
      <w:r>
        <w:t xml:space="preserve"> реализацией Подпрограммы осуществляет ответственный исполнитель - управление по развитию потребительского рынка и </w:t>
      </w:r>
      <w:r>
        <w:lastRenderedPageBreak/>
        <w:t>предпринимательства администрации города Чебоксары, который обеспечивает согласованность действий и осуществляет взаимодействие с соисполнителями и участниками Подпрограммы на принципах муниципального частного партнерства.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>Ответственный исполнитель и соисполнители Подпрограммы осуществляют подготовку отчетов о выполнении программных мероприятий Подпрограммы.</w:t>
      </w:r>
    </w:p>
    <w:p w:rsidR="00A10A6C" w:rsidRDefault="00A10A6C">
      <w:pPr>
        <w:pStyle w:val="ConsPlusNormal"/>
        <w:spacing w:before="220"/>
        <w:ind w:firstLine="540"/>
        <w:jc w:val="both"/>
      </w:pPr>
      <w:r>
        <w:t xml:space="preserve">Информация о ходе и полноте выполнения программных мероприятий представляется ответственным исполнителем Подпрограммы в отдел экономики, прогнозирования и социально-экономического развития администрации города Чебоксары ежеквартально не позднее 15 числа месяца, следующего за отчетным кварталом, по форме согласно </w:t>
      </w:r>
      <w:hyperlink r:id="rId25" w:history="1">
        <w:r>
          <w:rPr>
            <w:color w:val="0000FF"/>
          </w:rPr>
          <w:t>приложениям N 4</w:t>
        </w:r>
      </w:hyperlink>
      <w:r>
        <w:t xml:space="preserve"> и </w:t>
      </w:r>
      <w:hyperlink r:id="rId26" w:history="1">
        <w:r>
          <w:rPr>
            <w:color w:val="0000FF"/>
          </w:rPr>
          <w:t>N 5</w:t>
        </w:r>
      </w:hyperlink>
      <w:r>
        <w:t xml:space="preserve"> к Порядку разработки и реализации муниципальных программ города Чебоксары.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right"/>
        <w:outlineLvl w:val="2"/>
      </w:pPr>
      <w:r>
        <w:t>Приложение N 1</w:t>
      </w:r>
    </w:p>
    <w:p w:rsidR="00A10A6C" w:rsidRDefault="00A10A6C">
      <w:pPr>
        <w:pStyle w:val="ConsPlusNormal"/>
        <w:jc w:val="right"/>
      </w:pPr>
      <w:r>
        <w:t>к подпрограмме "Развитие</w:t>
      </w:r>
    </w:p>
    <w:p w:rsidR="00A10A6C" w:rsidRDefault="00A10A6C">
      <w:pPr>
        <w:pStyle w:val="ConsPlusNormal"/>
        <w:jc w:val="right"/>
      </w:pPr>
      <w:r>
        <w:t>потребительского рынка и сферы</w:t>
      </w:r>
    </w:p>
    <w:p w:rsidR="00A10A6C" w:rsidRDefault="00A10A6C">
      <w:pPr>
        <w:pStyle w:val="ConsPlusNormal"/>
        <w:jc w:val="right"/>
      </w:pPr>
      <w:r>
        <w:t>услуг в городе Чебоксары"</w:t>
      </w:r>
    </w:p>
    <w:p w:rsidR="00A10A6C" w:rsidRDefault="00A10A6C">
      <w:pPr>
        <w:pStyle w:val="ConsPlusNormal"/>
        <w:jc w:val="right"/>
      </w:pPr>
      <w:r>
        <w:t>муниципальной программы</w:t>
      </w:r>
    </w:p>
    <w:p w:rsidR="00A10A6C" w:rsidRDefault="00A10A6C">
      <w:pPr>
        <w:pStyle w:val="ConsPlusNormal"/>
        <w:jc w:val="right"/>
      </w:pPr>
      <w:r>
        <w:t>города Чебоксары</w:t>
      </w:r>
    </w:p>
    <w:p w:rsidR="00A10A6C" w:rsidRDefault="00A10A6C">
      <w:pPr>
        <w:pStyle w:val="ConsPlusNormal"/>
        <w:jc w:val="right"/>
      </w:pPr>
      <w:r>
        <w:t>"Экономическое развитие</w:t>
      </w:r>
    </w:p>
    <w:p w:rsidR="00A10A6C" w:rsidRDefault="00A10A6C">
      <w:pPr>
        <w:pStyle w:val="ConsPlusNormal"/>
        <w:jc w:val="right"/>
      </w:pPr>
      <w:r>
        <w:t>города Чебоксары"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</w:pPr>
      <w:bookmarkStart w:id="7" w:name="P3890"/>
      <w:bookmarkEnd w:id="7"/>
      <w:r>
        <w:t>СВЕДЕНИЯ</w:t>
      </w:r>
    </w:p>
    <w:p w:rsidR="00A10A6C" w:rsidRDefault="00A10A6C">
      <w:pPr>
        <w:pStyle w:val="ConsPlusTitle"/>
        <w:jc w:val="center"/>
      </w:pPr>
      <w:r>
        <w:t>О ЦЕЛЕВЫХ ИНДИКАТОРАХ И ПОКАЗАТЕЛЯХ ПОДПРОГРАММЫ</w:t>
      </w:r>
    </w:p>
    <w:p w:rsidR="00A10A6C" w:rsidRDefault="00A10A6C">
      <w:pPr>
        <w:pStyle w:val="ConsPlusTitle"/>
        <w:jc w:val="center"/>
      </w:pPr>
      <w:r>
        <w:t xml:space="preserve">МУНИЦИПАЛЬНОЙ ПРОГРАММЫ ГОРОДА ЧЕБОКСАРЫ И ИХ </w:t>
      </w:r>
      <w:proofErr w:type="gramStart"/>
      <w:r>
        <w:t>ЗНАЧЕНИЯХ</w:t>
      </w:r>
      <w:proofErr w:type="gramEnd"/>
    </w:p>
    <w:p w:rsidR="00A10A6C" w:rsidRDefault="00A10A6C">
      <w:pPr>
        <w:pStyle w:val="ConsPlusNormal"/>
        <w:jc w:val="both"/>
      </w:pPr>
    </w:p>
    <w:p w:rsidR="00A10A6C" w:rsidRDefault="00A10A6C">
      <w:pPr>
        <w:sectPr w:rsidR="00A10A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020"/>
        <w:gridCol w:w="1134"/>
        <w:gridCol w:w="964"/>
        <w:gridCol w:w="907"/>
        <w:gridCol w:w="850"/>
        <w:gridCol w:w="907"/>
        <w:gridCol w:w="907"/>
        <w:gridCol w:w="907"/>
        <w:gridCol w:w="850"/>
      </w:tblGrid>
      <w:tr w:rsidR="00A10A6C">
        <w:tc>
          <w:tcPr>
            <w:tcW w:w="567" w:type="dxa"/>
            <w:vMerge w:val="restart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N</w:t>
            </w:r>
          </w:p>
          <w:p w:rsidR="00A10A6C" w:rsidRDefault="00A10A6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A10A6C" w:rsidRDefault="00A10A6C">
            <w:pPr>
              <w:pStyle w:val="ConsPlusNormal"/>
              <w:jc w:val="center"/>
            </w:pPr>
            <w:r>
              <w:t>Важнейшие целевые индикаторы и показатели Подпрограммы (наименование)</w:t>
            </w:r>
          </w:p>
        </w:tc>
        <w:tc>
          <w:tcPr>
            <w:tcW w:w="1020" w:type="dxa"/>
            <w:vMerge w:val="restart"/>
          </w:tcPr>
          <w:p w:rsidR="00A10A6C" w:rsidRDefault="00A10A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26" w:type="dxa"/>
            <w:gridSpan w:val="8"/>
          </w:tcPr>
          <w:p w:rsidR="00A10A6C" w:rsidRDefault="00A10A6C">
            <w:pPr>
              <w:pStyle w:val="ConsPlusNormal"/>
              <w:jc w:val="center"/>
            </w:pPr>
            <w:r>
              <w:t>Значения целевых индикаторов и показателей</w:t>
            </w:r>
          </w:p>
        </w:tc>
      </w:tr>
      <w:tr w:rsidR="00A10A6C">
        <w:tc>
          <w:tcPr>
            <w:tcW w:w="567" w:type="dxa"/>
            <w:vMerge/>
          </w:tcPr>
          <w:p w:rsidR="00A10A6C" w:rsidRDefault="00A10A6C"/>
        </w:tc>
        <w:tc>
          <w:tcPr>
            <w:tcW w:w="3118" w:type="dxa"/>
            <w:vMerge/>
          </w:tcPr>
          <w:p w:rsidR="00A10A6C" w:rsidRDefault="00A10A6C"/>
        </w:tc>
        <w:tc>
          <w:tcPr>
            <w:tcW w:w="1020" w:type="dxa"/>
            <w:vMerge/>
          </w:tcPr>
          <w:p w:rsidR="00A10A6C" w:rsidRDefault="00A10A6C"/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отчетный 2019 год</w:t>
            </w:r>
          </w:p>
        </w:tc>
        <w:tc>
          <w:tcPr>
            <w:tcW w:w="964" w:type="dxa"/>
          </w:tcPr>
          <w:p w:rsidR="00A10A6C" w:rsidRDefault="00A10A6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2026 год</w:t>
            </w:r>
          </w:p>
        </w:tc>
      </w:tr>
      <w:tr w:rsidR="00A10A6C"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10A6C" w:rsidRDefault="00A10A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10A6C" w:rsidRDefault="00A10A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10A6C" w:rsidRDefault="00A10A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</w:pPr>
          </w:p>
        </w:tc>
        <w:tc>
          <w:tcPr>
            <w:tcW w:w="907" w:type="dxa"/>
          </w:tcPr>
          <w:p w:rsidR="00A10A6C" w:rsidRDefault="00A10A6C">
            <w:pPr>
              <w:pStyle w:val="ConsPlusNormal"/>
            </w:pPr>
          </w:p>
        </w:tc>
        <w:tc>
          <w:tcPr>
            <w:tcW w:w="850" w:type="dxa"/>
          </w:tcPr>
          <w:p w:rsidR="00A10A6C" w:rsidRDefault="00A10A6C">
            <w:pPr>
              <w:pStyle w:val="ConsPlusNormal"/>
            </w:pPr>
          </w:p>
        </w:tc>
      </w:tr>
      <w:tr w:rsidR="00A10A6C">
        <w:tc>
          <w:tcPr>
            <w:tcW w:w="12131" w:type="dxa"/>
            <w:gridSpan w:val="11"/>
          </w:tcPr>
          <w:p w:rsidR="00A10A6C" w:rsidRDefault="00A10A6C">
            <w:pPr>
              <w:pStyle w:val="ConsPlusNormal"/>
              <w:jc w:val="center"/>
            </w:pPr>
            <w:r>
              <w:t>Подпрограмма "Развитие потребительского рынка и сферы услуг в городе Чебоксары"</w:t>
            </w:r>
          </w:p>
        </w:tc>
      </w:tr>
      <w:tr w:rsidR="00A10A6C">
        <w:tc>
          <w:tcPr>
            <w:tcW w:w="12131" w:type="dxa"/>
            <w:gridSpan w:val="11"/>
          </w:tcPr>
          <w:p w:rsidR="00A10A6C" w:rsidRDefault="00A10A6C">
            <w:pPr>
              <w:pStyle w:val="ConsPlusNormal"/>
              <w:jc w:val="center"/>
            </w:pPr>
            <w:r>
              <w:t>Цели Подпрограммы: повышение социально-экономической эффективности потребительского рынка и сферы услуг, 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A10A6C"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A10A6C" w:rsidRDefault="00A10A6C">
            <w:pPr>
              <w:pStyle w:val="ConsPlusNormal"/>
              <w:jc w:val="both"/>
            </w:pPr>
            <w:r>
              <w:t>Оборот розничной торговли на душу населения</w:t>
            </w:r>
          </w:p>
        </w:tc>
        <w:tc>
          <w:tcPr>
            <w:tcW w:w="1020" w:type="dxa"/>
          </w:tcPr>
          <w:p w:rsidR="00A10A6C" w:rsidRDefault="00A10A6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91,13</w:t>
            </w:r>
          </w:p>
        </w:tc>
        <w:tc>
          <w:tcPr>
            <w:tcW w:w="964" w:type="dxa"/>
          </w:tcPr>
          <w:p w:rsidR="00A10A6C" w:rsidRDefault="00A10A6C">
            <w:pPr>
              <w:pStyle w:val="ConsPlusNormal"/>
              <w:jc w:val="center"/>
            </w:pPr>
            <w:r>
              <w:t>94,23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101,92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110,24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114,65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118,90</w:t>
            </w:r>
          </w:p>
        </w:tc>
      </w:tr>
      <w:tr w:rsidR="00A10A6C"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A10A6C" w:rsidRDefault="00A10A6C">
            <w:pPr>
              <w:pStyle w:val="ConsPlusNormal"/>
              <w:jc w:val="both"/>
            </w:pPr>
            <w:r>
              <w:t>Обеспеченность населения площадью нестационарных торговых объектов на 10000 жителей</w:t>
            </w:r>
          </w:p>
        </w:tc>
        <w:tc>
          <w:tcPr>
            <w:tcW w:w="1020" w:type="dxa"/>
          </w:tcPr>
          <w:p w:rsidR="00A10A6C" w:rsidRDefault="00A10A6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64" w:type="dxa"/>
          </w:tcPr>
          <w:p w:rsidR="00A10A6C" w:rsidRDefault="00A10A6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7,3</w:t>
            </w:r>
          </w:p>
        </w:tc>
      </w:tr>
      <w:tr w:rsidR="00A10A6C"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A10A6C" w:rsidRDefault="00A10A6C">
            <w:pPr>
              <w:pStyle w:val="ConsPlusNormal"/>
              <w:jc w:val="both"/>
            </w:pPr>
            <w:r>
              <w:t>Открытие новых объектов торговли, общественного питания, бытовых услуг</w:t>
            </w:r>
          </w:p>
        </w:tc>
        <w:tc>
          <w:tcPr>
            <w:tcW w:w="1020" w:type="dxa"/>
          </w:tcPr>
          <w:p w:rsidR="00A10A6C" w:rsidRDefault="00A10A6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A10A6C" w:rsidRDefault="00A10A6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170</w:t>
            </w:r>
          </w:p>
        </w:tc>
      </w:tr>
      <w:tr w:rsidR="00A10A6C"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A10A6C" w:rsidRDefault="00A10A6C">
            <w:pPr>
              <w:pStyle w:val="ConsPlusNormal"/>
              <w:jc w:val="both"/>
            </w:pPr>
            <w:r>
              <w:t>Создание новых рабочих мест на объектах торговли, общественного питания, бытовых услуг</w:t>
            </w:r>
          </w:p>
        </w:tc>
        <w:tc>
          <w:tcPr>
            <w:tcW w:w="1020" w:type="dxa"/>
          </w:tcPr>
          <w:p w:rsidR="00A10A6C" w:rsidRDefault="00A10A6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A10A6C" w:rsidRDefault="00A10A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A10A6C" w:rsidRDefault="00A10A6C">
            <w:pPr>
              <w:pStyle w:val="ConsPlusNormal"/>
              <w:jc w:val="center"/>
            </w:pPr>
            <w:r>
              <w:t>730</w:t>
            </w:r>
          </w:p>
        </w:tc>
      </w:tr>
    </w:tbl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Normal"/>
        <w:jc w:val="right"/>
        <w:outlineLvl w:val="2"/>
      </w:pPr>
      <w:r>
        <w:t>Приложение N 2</w:t>
      </w:r>
    </w:p>
    <w:p w:rsidR="00A10A6C" w:rsidRDefault="00A10A6C">
      <w:pPr>
        <w:pStyle w:val="ConsPlusNormal"/>
        <w:jc w:val="right"/>
      </w:pPr>
      <w:r>
        <w:t>к подпрограмме "Развитие</w:t>
      </w:r>
    </w:p>
    <w:p w:rsidR="00A10A6C" w:rsidRDefault="00A10A6C">
      <w:pPr>
        <w:pStyle w:val="ConsPlusNormal"/>
        <w:jc w:val="right"/>
      </w:pPr>
      <w:r>
        <w:lastRenderedPageBreak/>
        <w:t>потребительского рынка и сферы</w:t>
      </w:r>
    </w:p>
    <w:p w:rsidR="00A10A6C" w:rsidRDefault="00A10A6C">
      <w:pPr>
        <w:pStyle w:val="ConsPlusNormal"/>
        <w:jc w:val="right"/>
      </w:pPr>
      <w:r>
        <w:t>услуг в городе Чебоксары"</w:t>
      </w:r>
    </w:p>
    <w:p w:rsidR="00A10A6C" w:rsidRDefault="00A10A6C">
      <w:pPr>
        <w:pStyle w:val="ConsPlusNormal"/>
        <w:jc w:val="right"/>
      </w:pPr>
      <w:r>
        <w:t>муниципальной программы</w:t>
      </w:r>
    </w:p>
    <w:p w:rsidR="00A10A6C" w:rsidRDefault="00A10A6C">
      <w:pPr>
        <w:pStyle w:val="ConsPlusNormal"/>
        <w:jc w:val="right"/>
      </w:pPr>
      <w:r>
        <w:t>города Чебоксары</w:t>
      </w:r>
    </w:p>
    <w:p w:rsidR="00A10A6C" w:rsidRDefault="00A10A6C">
      <w:pPr>
        <w:pStyle w:val="ConsPlusNormal"/>
        <w:jc w:val="right"/>
      </w:pPr>
      <w:r>
        <w:t>"Экономическое развитие</w:t>
      </w:r>
    </w:p>
    <w:p w:rsidR="00A10A6C" w:rsidRDefault="00A10A6C">
      <w:pPr>
        <w:pStyle w:val="ConsPlusNormal"/>
        <w:jc w:val="right"/>
      </w:pPr>
      <w:r>
        <w:t>города Чебоксары"</w:t>
      </w:r>
    </w:p>
    <w:p w:rsidR="00A10A6C" w:rsidRDefault="00A10A6C">
      <w:pPr>
        <w:pStyle w:val="ConsPlusNormal"/>
        <w:jc w:val="both"/>
      </w:pPr>
    </w:p>
    <w:p w:rsidR="00A10A6C" w:rsidRDefault="00A10A6C">
      <w:pPr>
        <w:pStyle w:val="ConsPlusTitle"/>
        <w:jc w:val="center"/>
      </w:pPr>
      <w:bookmarkStart w:id="8" w:name="P3978"/>
      <w:bookmarkEnd w:id="8"/>
      <w:r>
        <w:t>РЕСУРСНОЕ ОБЕСПЕЧЕНИЕ</w:t>
      </w:r>
    </w:p>
    <w:p w:rsidR="00A10A6C" w:rsidRDefault="00A10A6C">
      <w:pPr>
        <w:pStyle w:val="ConsPlusTitle"/>
        <w:jc w:val="center"/>
      </w:pPr>
      <w:r>
        <w:t>РЕАЛИЗАЦИИ ПОДПРОГРАММЫ МУНИЦИПАЛЬНОЙ ПРОГРАММЫ</w:t>
      </w:r>
    </w:p>
    <w:p w:rsidR="00A10A6C" w:rsidRDefault="00A10A6C">
      <w:pPr>
        <w:pStyle w:val="ConsPlusTitle"/>
        <w:jc w:val="center"/>
      </w:pPr>
      <w:r>
        <w:t>ЗА СЧЕТ ВСЕХ СРЕДСТВ ИСТОЧНИКОВ ФИНАНСИРОВАНИЯ</w:t>
      </w:r>
    </w:p>
    <w:p w:rsidR="00A10A6C" w:rsidRDefault="00A10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1077"/>
        <w:gridCol w:w="2268"/>
        <w:gridCol w:w="709"/>
        <w:gridCol w:w="709"/>
        <w:gridCol w:w="567"/>
        <w:gridCol w:w="567"/>
        <w:gridCol w:w="1134"/>
        <w:gridCol w:w="1134"/>
        <w:gridCol w:w="1134"/>
        <w:gridCol w:w="1134"/>
        <w:gridCol w:w="1134"/>
        <w:gridCol w:w="1134"/>
        <w:gridCol w:w="1191"/>
      </w:tblGrid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center"/>
            </w:pPr>
            <w: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077" w:type="dxa"/>
            <w:vMerge w:val="restart"/>
          </w:tcPr>
          <w:p w:rsidR="00A10A6C" w:rsidRDefault="00A10A6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center"/>
            </w:pPr>
            <w:r>
              <w:t>Ответственный исполнитель, соисполнители, участники Подпрограммы</w:t>
            </w:r>
          </w:p>
        </w:tc>
        <w:tc>
          <w:tcPr>
            <w:tcW w:w="2552" w:type="dxa"/>
            <w:gridSpan w:val="4"/>
          </w:tcPr>
          <w:p w:rsidR="00A10A6C" w:rsidRDefault="00A10A6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995" w:type="dxa"/>
            <w:gridSpan w:val="7"/>
          </w:tcPr>
          <w:p w:rsidR="00A10A6C" w:rsidRDefault="00A10A6C">
            <w:pPr>
              <w:pStyle w:val="ConsPlusNormal"/>
              <w:jc w:val="center"/>
            </w:pPr>
            <w:r>
              <w:t>Оценка расходов по годам, тысяч рублей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  <w:vMerge/>
          </w:tcPr>
          <w:p w:rsidR="00A10A6C" w:rsidRDefault="00A10A6C"/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2026 год</w:t>
            </w:r>
          </w:p>
        </w:tc>
      </w:tr>
      <w:tr w:rsidR="00A10A6C">
        <w:tc>
          <w:tcPr>
            <w:tcW w:w="907" w:type="dxa"/>
          </w:tcPr>
          <w:p w:rsidR="00A10A6C" w:rsidRDefault="00A10A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10A6C" w:rsidRDefault="00A10A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10A6C" w:rsidRDefault="00A10A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15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Подпрограмма муниципальной программы города Чебоксары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"Развитие потребительского рынка и сферы услуг в городе Чебоксары"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 xml:space="preserve">Управление архитектуры и градостроительства </w:t>
            </w:r>
            <w:r>
              <w:lastRenderedPageBreak/>
              <w:t>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информации, общественных связей и молодежной политики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образования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физкультуры и спорта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261200,0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271200,0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271200,0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281200,0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200,0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271000,0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281000,0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Совершенствование муниципальной координации и правового регулирования в </w:t>
            </w:r>
            <w:r>
              <w:lastRenderedPageBreak/>
              <w:t>сфере потребительского рынка и услуг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Управление по развитию потребительского рынка и предпринимательства администрации </w:t>
            </w:r>
            <w:r>
              <w:lastRenderedPageBreak/>
              <w:t>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</w:t>
            </w:r>
            <w:r>
              <w:lastRenderedPageBreak/>
              <w:t>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1.1.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Совершенствование нормативно-правового обеспечения в сфере потребительского рынка и услуг, внесение необходимых изменений в нормативные правовые акты города Чебоксары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1.2.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Отдел торговли управления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1.3.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Организация проведения мониторинга наличия в </w:t>
            </w:r>
            <w:r>
              <w:lastRenderedPageBreak/>
              <w:t>продаже в организациях розничной торговли продукции товаропроизводителей, осуществляющих деятельность на территории Чувашской Республики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Отдел торговли управления по развитию потребительского </w:t>
            </w:r>
            <w:r>
              <w:lastRenderedPageBreak/>
              <w:t>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1.4.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Обновление информации о состоянии и перспективах развития потребительского рынка и сферы услуг на официальном сайте города Чебоксары в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Отдел торговли и сектор бытовых услуг управления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</w:t>
            </w:r>
            <w:r>
              <w:lastRenderedPageBreak/>
              <w:t>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1.5.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Проведение ежегодного анализа обеспеченности населения торговыми площадями, посадочными местами в предприятиях общественного питания и рабочими местами в организациях бытового обслуживания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Отдел торговли и сектор бытовых услуг управления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1.6.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Формирование и ведение реестров </w:t>
            </w:r>
            <w:r>
              <w:lastRenderedPageBreak/>
              <w:t>организаций торговли, общественного питания, бытовых услуг города Чебоксары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Отдел торговли и сектор бытовых услуг управления по </w:t>
            </w:r>
            <w:r>
              <w:lastRenderedPageBreak/>
              <w:t>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 xml:space="preserve">Управление ЖКХ, энергетики, </w:t>
            </w:r>
            <w:r>
              <w:lastRenderedPageBreak/>
              <w:t>транспорта и связи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организации и индивидуальные предприниматели, осуществляющие деятельность на потребительском рынке и в сфере услуг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271000,0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281000,0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Муницип</w:t>
            </w:r>
            <w:r>
              <w:lastRenderedPageBreak/>
              <w:t>альный 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271000,0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281000,0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2.1.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Открытие, реконструкция и модернизация объектов торговли, общественного питания, бытовых услуг, в том числе оснащение их электронными терминалами для безналичного расчета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Отдел торговли и сектор бытовых услуг управления по развитию потребительского рынка и предпринимательства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организации и индивидуальные предприниматели, осуществляющие деятельность на потребительском рынке и в сфере услуг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280000,0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260000,0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280000,0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Мероприятие 2.2.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Реализация мер по упорядочению и усовершенствование схемы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Отдел торговли управления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2.3.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Обеспечение повышения доступности объектов торговли, общественного питания, бытовых услуг для инвалидов и других </w:t>
            </w:r>
            <w:r>
              <w:lastRenderedPageBreak/>
              <w:t>маломобильных групп населения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 xml:space="preserve">организации и индивидуальные предприниматели, </w:t>
            </w:r>
            <w:r>
              <w:lastRenderedPageBreak/>
              <w:t>осуществляющие деятельность на потребительском рынке и в сфере услуг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Муниципальный 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Основное мероприятие 3.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Развитие конкуренции в сфере потребительского рынка и услуг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>организации и индивидуальные предприниматели, осуществляющие деятельность на потребительском рынке и в сфере услуг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Мероприятие 3.1.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Организация и проведение выставок, ярмарок товаров и услуг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3.2.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Расширение сети объектов потребительского рынка с экологически чистой и </w:t>
            </w:r>
            <w:r>
              <w:lastRenderedPageBreak/>
              <w:t>безопасной продукцией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Управление по развитию потребительского рынка и предпринимательства администрации </w:t>
            </w:r>
            <w:r>
              <w:lastRenderedPageBreak/>
              <w:t>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</w:t>
            </w:r>
            <w:r>
              <w:lastRenderedPageBreak/>
              <w:t>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Основное мероприятие 4.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Развитие кадрового потенциала организаций потребительского рынка и сферы услуг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4.1.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 и услуг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4.2.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Организация участия специалистов сферы торговли, </w:t>
            </w:r>
            <w:r>
              <w:lastRenderedPageBreak/>
              <w:t>общественного питания и бытового обслуживания населения в международных, всероссийских и региональных, городских конкурсах, смотрах профессионального мастерства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 xml:space="preserve">Отдел торговли и сектор бытовых услуг управления по развитию </w:t>
            </w:r>
            <w:r>
              <w:lastRenderedPageBreak/>
              <w:t>потребительского рынка и предпринимательства администрации города Чебоксары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Мероприятие 4.3.</w:t>
            </w:r>
          </w:p>
        </w:tc>
        <w:tc>
          <w:tcPr>
            <w:tcW w:w="1701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Организация городских фестивалей и конкурсов среди работников и организаций сферы торговли, общественного питания, бытовых услуг</w:t>
            </w:r>
          </w:p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  <w:vMerge w:val="restart"/>
          </w:tcPr>
          <w:p w:rsidR="00A10A6C" w:rsidRDefault="00A10A6C">
            <w:pPr>
              <w:pStyle w:val="ConsPlusNormal"/>
              <w:jc w:val="both"/>
            </w:pPr>
            <w:r>
              <w:t>Отдел торговли и сектор бытовых услуг управления по развитию потребительского рынка и предпринимательства администрации города Чебоксары;</w:t>
            </w:r>
          </w:p>
          <w:p w:rsidR="00A10A6C" w:rsidRDefault="00A10A6C">
            <w:pPr>
              <w:pStyle w:val="ConsPlusNormal"/>
              <w:jc w:val="both"/>
            </w:pPr>
            <w:r>
              <w:t xml:space="preserve">организации и индивидуальные предприниматели, осуществляющие деятельность в сфере торговли, общественного </w:t>
            </w:r>
            <w:r>
              <w:lastRenderedPageBreak/>
              <w:t>питания, бытовых услуг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Бюджет города Чебоксар</w:t>
            </w:r>
            <w:r>
              <w:lastRenderedPageBreak/>
              <w:t>ы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100,0</w:t>
            </w:r>
          </w:p>
        </w:tc>
      </w:tr>
      <w:tr w:rsidR="00A10A6C">
        <w:tc>
          <w:tcPr>
            <w:tcW w:w="907" w:type="dxa"/>
            <w:vMerge/>
          </w:tcPr>
          <w:p w:rsidR="00A10A6C" w:rsidRDefault="00A10A6C"/>
        </w:tc>
        <w:tc>
          <w:tcPr>
            <w:tcW w:w="1701" w:type="dxa"/>
            <w:vMerge/>
          </w:tcPr>
          <w:p w:rsidR="00A10A6C" w:rsidRDefault="00A10A6C"/>
        </w:tc>
        <w:tc>
          <w:tcPr>
            <w:tcW w:w="1077" w:type="dxa"/>
          </w:tcPr>
          <w:p w:rsidR="00A10A6C" w:rsidRDefault="00A10A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268" w:type="dxa"/>
            <w:vMerge/>
          </w:tcPr>
          <w:p w:rsidR="00A10A6C" w:rsidRDefault="00A10A6C"/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10A6C" w:rsidRDefault="00A10A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10A6C" w:rsidRDefault="00A10A6C">
            <w:pPr>
              <w:pStyle w:val="ConsPlusNormal"/>
              <w:jc w:val="center"/>
            </w:pPr>
            <w:r>
              <w:t>0,0</w:t>
            </w:r>
          </w:p>
        </w:tc>
      </w:tr>
    </w:tbl>
    <w:p w:rsidR="00526120" w:rsidRDefault="00526120" w:rsidP="00296DD4">
      <w:pPr>
        <w:pStyle w:val="ConsPlusNormal"/>
        <w:jc w:val="both"/>
      </w:pPr>
      <w:bookmarkStart w:id="9" w:name="_GoBack"/>
      <w:bookmarkEnd w:id="9"/>
    </w:p>
    <w:sectPr w:rsidR="00526120" w:rsidSect="00A10A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6C"/>
    <w:rsid w:val="00296DD4"/>
    <w:rsid w:val="00526120"/>
    <w:rsid w:val="009653AF"/>
    <w:rsid w:val="00A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6F60F04BB78FC994B5B068BE490A3AC72482D38A15F00875688F0C0080CB58F50907DEF5DD506C87824E567627L" TargetMode="External"/><Relationship Id="rId13" Type="http://schemas.openxmlformats.org/officeDocument/2006/relationships/hyperlink" Target="consultantplus://offline/ref=05986F60F04BB78FC994ABBD7ED2170E30C47D86D2801FA05C296ED85350869E0AB5575E9FB7CE516D998249506D23619ED176FA50EA9796C913982E7D2AL" TargetMode="External"/><Relationship Id="rId18" Type="http://schemas.openxmlformats.org/officeDocument/2006/relationships/hyperlink" Target="consultantplus://offline/ref=05986F60F04BB78FC994ABBD7ED2170E30C47D86D28016AF50216ED85350869E0AB5575E8DB7965D6F9F9E4E55787530D87825L" TargetMode="External"/><Relationship Id="rId26" Type="http://schemas.openxmlformats.org/officeDocument/2006/relationships/hyperlink" Target="consultantplus://offline/ref=05986F60F04BB78FC994ABBD7ED2170E30C47D86D2801FA05C296ED85350869E0AB5575E9FB7CE516D998249506D23619ED176FA50EA9796C913982E7D2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986F60F04BB78FC994B5B068BE490A3BC82182D38315F00875688F0C0080CB4AF5510BDCF3C2516992D41F10337A32DC9A7BF948F697957D26L" TargetMode="External"/><Relationship Id="rId7" Type="http://schemas.openxmlformats.org/officeDocument/2006/relationships/hyperlink" Target="consultantplus://offline/ref=05986F60F04BB78FC994ABBD7ED2170E30C47D86D28016A351206ED85350869E0AB5575E8DB7965D6F9F9E4E55787530D87825L" TargetMode="External"/><Relationship Id="rId12" Type="http://schemas.openxmlformats.org/officeDocument/2006/relationships/hyperlink" Target="consultantplus://offline/ref=05986F60F04BB78FC994ABBD7ED2170E30C47D86D2801FA05C296ED85350869E0AB5575E9FB7CE516D998146556D23619ED176FA50EA9796C913982E7D2AL" TargetMode="External"/><Relationship Id="rId17" Type="http://schemas.openxmlformats.org/officeDocument/2006/relationships/hyperlink" Target="consultantplus://offline/ref=05986F60F04BB78FC994ABBD7ED2170E30C47D86D28016A351256ED85350869E0AB5575E8DB7965D6F9F9E4E55787530D87825L" TargetMode="External"/><Relationship Id="rId25" Type="http://schemas.openxmlformats.org/officeDocument/2006/relationships/hyperlink" Target="consultantplus://offline/ref=05986F60F04BB78FC994ABBD7ED2170E30C47D86D2801FA05C296ED85350869E0AB5575E9FB7CE516D998146556D23619ED176FA50EA9796C913982E7D2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986F60F04BB78FC994ABBD7ED2170E30C47D86D28016A351206ED85350869E0AB5575E8DB7965D6F9F9E4E55787530D87825L" TargetMode="External"/><Relationship Id="rId20" Type="http://schemas.openxmlformats.org/officeDocument/2006/relationships/hyperlink" Target="consultantplus://offline/ref=05986F60F04BB78FC994ABBD7ED2170E30C47D86D2801FA05C296ED85350869E0AB5575E8DB7965D6F9F9E4E55787530D8782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6F60F04BB78FC994ABBD7ED2170E30C47D86DB8B16A2572A33D25B098A9C0DBA085B98A6CE526B87804F4A6477327D2BL" TargetMode="External"/><Relationship Id="rId11" Type="http://schemas.openxmlformats.org/officeDocument/2006/relationships/hyperlink" Target="consultantplus://offline/ref=05986F60F04BB78FC994ABBD7ED2170E30C47D86D2801FA05C296ED85350869E0AB5575E8DB7965D6F9F9E4E55787530D87825L" TargetMode="External"/><Relationship Id="rId24" Type="http://schemas.openxmlformats.org/officeDocument/2006/relationships/hyperlink" Target="consultantplus://offline/ref=05986F60F04BB78FC994ABBD7ED2170E30C47D86DB8B16A2572A33D25B098A9C0DBA085B98A6CE526B87804F4A6477327D2BL" TargetMode="External"/><Relationship Id="rId5" Type="http://schemas.openxmlformats.org/officeDocument/2006/relationships/hyperlink" Target="consultantplus://offline/ref=05986F60F04BB78FC994B5B068BE490A3BC82182D38315F00875688F0C0080CB58F50907DEF5DD506C87824E567627L" TargetMode="External"/><Relationship Id="rId15" Type="http://schemas.openxmlformats.org/officeDocument/2006/relationships/hyperlink" Target="consultantplus://offline/ref=05986F60F04BB78FC994ABBD7ED2170E30C47D86DB8B16A2572A33D25B098A9C0DBA085B98A6CE526B87804F4A6477327D2BL" TargetMode="External"/><Relationship Id="rId23" Type="http://schemas.openxmlformats.org/officeDocument/2006/relationships/hyperlink" Target="consultantplus://offline/ref=05986F60F04BB78FC994B5B068BE490A3BC82182D38315F00875688F0C0080CB58F50907DEF5DD506C87824E56762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986F60F04BB78FC994ABBD7ED2170E30C47D86DB8017AE572A33D25B098A9C0DBA085B98A6CE526B87804F4A6477327D2BL" TargetMode="External"/><Relationship Id="rId19" Type="http://schemas.openxmlformats.org/officeDocument/2006/relationships/hyperlink" Target="consultantplus://offline/ref=05986F60F04BB78FC994ABBD7ED2170E30C47D86DB8017AE572A33D25B098A9C0DBA085B98A6CE526B87804F4A6477327D2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86F60F04BB78FC994ABBD7ED2170E30C47D86D28016AF50216ED85350869E0AB5575E8DB7965D6F9F9E4E55787530D87825L" TargetMode="External"/><Relationship Id="rId14" Type="http://schemas.openxmlformats.org/officeDocument/2006/relationships/hyperlink" Target="consultantplus://offline/ref=05986F60F04BB78FC994B5B068BE490A3BC82182D38315F00875688F0C0080CB58F50907DEF5DD506C87824E567627L" TargetMode="External"/><Relationship Id="rId22" Type="http://schemas.openxmlformats.org/officeDocument/2006/relationships/hyperlink" Target="consultantplus://offline/ref=05986F60F04BB78FC994ABB467D5170E30C47D86D78616A3542A33D25B098A9C0DBA085B98A6CE526B87804F4A6477327D2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byt2</dc:creator>
  <cp:lastModifiedBy>byt2</cp:lastModifiedBy>
  <cp:revision>2</cp:revision>
  <dcterms:created xsi:type="dcterms:W3CDTF">2021-01-26T12:34:00Z</dcterms:created>
  <dcterms:modified xsi:type="dcterms:W3CDTF">2021-01-26T12:34:00Z</dcterms:modified>
</cp:coreProperties>
</file>