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uppressAutoHyphens/>
        <w:ind w:firstLine="532"/>
        <w:rPr>
          <w:b/>
          <w:sz w:val="32"/>
          <w:szCs w:val="32"/>
        </w:rPr>
      </w:pPr>
      <w:r>
        <w:rPr>
          <w:sz w:val="32"/>
          <w:szCs w:val="32"/>
        </w:rPr>
        <w:t>Уважаемые Олег Але</w:t>
      </w:r>
      <w:bookmarkStart w:id="0" w:name="_GoBack"/>
      <w:bookmarkEnd w:id="0"/>
      <w:r>
        <w:rPr>
          <w:sz w:val="32"/>
          <w:szCs w:val="32"/>
        </w:rPr>
        <w:t>ксеевич и участники совещания!</w:t>
      </w:r>
    </w:p>
    <w:p>
      <w:pPr>
        <w:spacing w:after="0" w:line="240" w:lineRule="auto"/>
        <w:ind w:firstLine="567"/>
        <w:jc w:val="both"/>
        <w:rPr>
          <w:sz w:val="32"/>
          <w:szCs w:val="32"/>
        </w:rPr>
      </w:pPr>
    </w:p>
    <w:p>
      <w:pPr>
        <w:spacing w:after="0" w:line="240" w:lineRule="auto"/>
        <w:ind w:firstLine="567"/>
        <w:jc w:val="both"/>
        <w:rPr>
          <w:color w:val="262626"/>
          <w:sz w:val="32"/>
          <w:szCs w:val="32"/>
        </w:rPr>
      </w:pPr>
      <w:r>
        <w:rPr>
          <w:sz w:val="32"/>
          <w:szCs w:val="32"/>
        </w:rPr>
        <w:t xml:space="preserve">Контрольно-счетной палатой Чувашской Республики в течение 2020 года осуществлялся контроль </w:t>
      </w:r>
      <w:r>
        <w:rPr>
          <w:color w:val="262626"/>
          <w:sz w:val="32"/>
          <w:szCs w:val="32"/>
        </w:rPr>
        <w:t>за ходом реализации региональных проектов.</w:t>
      </w:r>
    </w:p>
    <w:p>
      <w:pPr>
        <w:shd w:val="clear" w:color="auto" w:fill="FFFFFF"/>
        <w:spacing w:after="0" w:line="240" w:lineRule="auto"/>
        <w:ind w:firstLine="567"/>
        <w:jc w:val="both"/>
        <w:rPr>
          <w:color w:val="262626"/>
          <w:sz w:val="32"/>
          <w:szCs w:val="32"/>
        </w:rPr>
      </w:pPr>
      <w:r>
        <w:rPr>
          <w:color w:val="262626"/>
          <w:sz w:val="32"/>
          <w:szCs w:val="32"/>
        </w:rPr>
        <w:t xml:space="preserve"> За истекший период КСП провела 7 контрольных мероприятий, в рамках которых охвачено 9 региональных проектов, кроме того проведено 4 мониторинга. Объем проверенных средств составил 1 706, 0 млн. рублей. Выявлено финансовых недостатков (нарушений) за истекший период на общую сумму 116 589,0 тыс. рублей, из них 81 313,2 тыс. рублей (69,7%) составили нарушения при осуществлении государственных (муниципальных) закупок. Установлены факты неэффективного использования бюджетных средств на сумму 10 243,6 тыс. рублей. В соответствии с представленными полномочиями приняты меры по предотвращению и устранению выявленных нарушений, всего устранено на сумму  14,5 млн.руб.</w:t>
      </w:r>
    </w:p>
    <w:p>
      <w:pPr>
        <w:shd w:val="clear" w:color="auto" w:fill="FFFFFF"/>
        <w:spacing w:after="0" w:line="240" w:lineRule="auto"/>
        <w:ind w:firstLine="567"/>
        <w:jc w:val="both"/>
        <w:rPr>
          <w:color w:val="262626"/>
          <w:sz w:val="32"/>
          <w:szCs w:val="32"/>
        </w:rPr>
      </w:pPr>
      <w:r>
        <w:rPr>
          <w:color w:val="262626"/>
          <w:sz w:val="32"/>
          <w:szCs w:val="32"/>
        </w:rPr>
        <w:t>По результатам проведенных проверок и мониторингов Контрольно-счетная палата считает необходимым еще раз обратить внимание на следующее основные проблемы.</w:t>
      </w:r>
    </w:p>
    <w:p>
      <w:pPr>
        <w:shd w:val="clear" w:color="auto" w:fill="FFFFFF"/>
        <w:spacing w:after="0" w:line="240" w:lineRule="auto"/>
        <w:ind w:firstLine="567"/>
        <w:jc w:val="both"/>
        <w:rPr>
          <w:b/>
          <w:bCs/>
          <w:sz w:val="32"/>
          <w:szCs w:val="32"/>
        </w:rPr>
      </w:pPr>
      <w:r>
        <w:rPr>
          <w:b/>
          <w:color w:val="262626"/>
          <w:sz w:val="32"/>
          <w:szCs w:val="32"/>
        </w:rPr>
        <w:t>1.</w:t>
      </w:r>
      <w:r>
        <w:rPr>
          <w:color w:val="262626"/>
          <w:sz w:val="32"/>
          <w:szCs w:val="32"/>
        </w:rPr>
        <w:t xml:space="preserve"> </w:t>
      </w:r>
      <w:r>
        <w:rPr>
          <w:b/>
          <w:color w:val="262626"/>
          <w:sz w:val="32"/>
          <w:szCs w:val="32"/>
        </w:rPr>
        <w:t>В</w:t>
      </w:r>
      <w:r>
        <w:rPr>
          <w:b/>
          <w:sz w:val="32"/>
          <w:szCs w:val="32"/>
        </w:rPr>
        <w:t xml:space="preserve"> ходе проверки 4 региональных проектов выявлены факты </w:t>
      </w:r>
      <w:r>
        <w:rPr>
          <w:b/>
          <w:bCs/>
          <w:sz w:val="32"/>
          <w:szCs w:val="32"/>
        </w:rPr>
        <w:t>завышения Н(М)ЦК</w:t>
      </w:r>
      <w:r>
        <w:rPr>
          <w:b/>
          <w:sz w:val="32"/>
          <w:szCs w:val="32"/>
        </w:rPr>
        <w:t xml:space="preserve"> на общую сумму 35 937,1 тыс. рублей</w:t>
      </w:r>
      <w:r>
        <w:rPr>
          <w:b/>
          <w:bCs/>
          <w:sz w:val="32"/>
          <w:szCs w:val="32"/>
        </w:rPr>
        <w:t xml:space="preserve"> по различным причинам.</w:t>
      </w:r>
    </w:p>
    <w:p>
      <w:pPr>
        <w:shd w:val="clear" w:color="auto" w:fill="FFFFFF"/>
        <w:spacing w:after="0" w:line="240" w:lineRule="auto"/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В тоже время, при отсутствии (либо низкой бюджетной эффективности) от  проведения закупочных процедур, такие факты приводят к не соблюдению </w:t>
      </w:r>
      <w:r>
        <w:rPr>
          <w:sz w:val="32"/>
          <w:szCs w:val="32"/>
        </w:rPr>
        <w:t xml:space="preserve">принципов эффективности осуществления закупки для обеспечения государственных и муниципальных нужд, предусмотренных </w:t>
      </w:r>
      <w:r>
        <w:fldChar w:fldCharType="begin"/>
      </w:r>
      <w:r>
        <w:instrText xml:space="preserve"> HYPERLINK "consultantplus://offline/ref=856530D6853E872B3FE7127AF7292517681EEE8783BA95607E22DC1B7786E4F1FACA6BDD65D86F202044E700193B52C31492A23E357542EAI2UCP" </w:instrText>
      </w:r>
      <w:r>
        <w:fldChar w:fldCharType="separate"/>
      </w:r>
      <w:r>
        <w:rPr>
          <w:rStyle w:val="5"/>
          <w:color w:val="auto"/>
          <w:sz w:val="32"/>
          <w:szCs w:val="32"/>
          <w:u w:val="none"/>
        </w:rPr>
        <w:t>ст. 6</w:t>
      </w:r>
      <w:r>
        <w:rPr>
          <w:rStyle w:val="5"/>
          <w:color w:val="auto"/>
          <w:sz w:val="32"/>
          <w:szCs w:val="32"/>
          <w:u w:val="none"/>
        </w:rPr>
        <w:fldChar w:fldCharType="end"/>
      </w:r>
      <w:r>
        <w:rPr>
          <w:sz w:val="32"/>
          <w:szCs w:val="32"/>
        </w:rPr>
        <w:t xml:space="preserve">, </w:t>
      </w:r>
      <w:r>
        <w:fldChar w:fldCharType="begin"/>
      </w:r>
      <w:r>
        <w:instrText xml:space="preserve"> HYPERLINK "consultantplus://offline/ref=856530D6853E872B3FE7127AF7292517681EEE8783BA95607E22DC1B7786E4F1FACA6BDD65D86E292B44E700193B52C31492A23E357542EAI2UCP" </w:instrText>
      </w:r>
      <w:r>
        <w:fldChar w:fldCharType="separate"/>
      </w:r>
      <w:r>
        <w:rPr>
          <w:rStyle w:val="5"/>
          <w:color w:val="auto"/>
          <w:sz w:val="32"/>
          <w:szCs w:val="32"/>
          <w:u w:val="none"/>
        </w:rPr>
        <w:t>ч. 1 ст. 12</w:t>
      </w:r>
      <w:r>
        <w:rPr>
          <w:rStyle w:val="5"/>
          <w:color w:val="auto"/>
          <w:sz w:val="32"/>
          <w:szCs w:val="32"/>
          <w:u w:val="none"/>
        </w:rPr>
        <w:fldChar w:fldCharType="end"/>
      </w:r>
      <w:r>
        <w:rPr>
          <w:sz w:val="32"/>
          <w:szCs w:val="32"/>
        </w:rPr>
        <w:t xml:space="preserve"> Федерального закона № 44-ФЗ, а также требованиями  ст. 34, </w:t>
      </w:r>
      <w:r>
        <w:rPr>
          <w:bCs/>
          <w:sz w:val="32"/>
          <w:szCs w:val="32"/>
        </w:rPr>
        <w:t xml:space="preserve">69 и 72 Бюджетного кодекса Российской Федерации. </w:t>
      </w:r>
    </w:p>
    <w:p>
      <w:pPr>
        <w:shd w:val="clear" w:color="auto" w:fill="FFFFFF"/>
        <w:spacing w:after="0" w:line="240" w:lineRule="auto"/>
        <w:ind w:firstLine="567"/>
        <w:jc w:val="both"/>
        <w:rPr>
          <w:b/>
          <w:color w:val="262626"/>
          <w:sz w:val="32"/>
          <w:szCs w:val="32"/>
        </w:rPr>
      </w:pPr>
      <w:r>
        <w:rPr>
          <w:b/>
          <w:color w:val="262626"/>
          <w:sz w:val="32"/>
          <w:szCs w:val="32"/>
        </w:rPr>
        <w:t xml:space="preserve">2.Остается проблема в части ведения и подтверждения выполненных работ исполнительной документации на стадии исполнения контракта. </w:t>
      </w:r>
    </w:p>
    <w:p>
      <w:pPr>
        <w:shd w:val="clear" w:color="auto" w:fill="FFFFFF"/>
        <w:spacing w:after="0" w:line="240" w:lineRule="auto"/>
        <w:ind w:firstLine="567"/>
        <w:jc w:val="both"/>
        <w:rPr>
          <w:color w:val="262626"/>
          <w:sz w:val="32"/>
          <w:szCs w:val="32"/>
        </w:rPr>
      </w:pPr>
      <w:r>
        <w:rPr>
          <w:color w:val="262626"/>
          <w:sz w:val="32"/>
          <w:szCs w:val="32"/>
        </w:rPr>
        <w:t>Так, в ходе камеральной проверки регионального проекта «Чистая вода» муниципальным заказчиком – администрацией Порецкого сельского поселения работы по укреплению инвентарными щитами стенок траншей на сумму 2069,1 тыс.рублей оплачены работы без подтверждения актами освидетельствования скрытых работ, также без фиксации их в Общем журнале работ. В ходе проверки представленные фотоматериалы так же не подтверждают реально понесенные расходы в размере запроцентованных в актах выполненных работ.</w:t>
      </w:r>
    </w:p>
    <w:p>
      <w:pPr>
        <w:shd w:val="clear" w:color="auto" w:fill="FFFFFF"/>
        <w:spacing w:after="0" w:line="240" w:lineRule="auto"/>
        <w:ind w:firstLine="567"/>
        <w:jc w:val="both"/>
        <w:rPr>
          <w:color w:val="262626"/>
          <w:sz w:val="32"/>
          <w:szCs w:val="32"/>
        </w:rPr>
      </w:pPr>
      <w:r>
        <w:rPr>
          <w:color w:val="262626"/>
          <w:sz w:val="32"/>
          <w:szCs w:val="32"/>
        </w:rPr>
        <w:t xml:space="preserve">По результатам мониторинга регионального проекта «Оздоровление Волги», КСП обращала внимание государственного заказчика на нарушения сроков, определенных государственными контрактами, в части не своевременности установления камер видеонаблюдения, пунктов весового контроля.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3. Контрольно-счетная палата в материалах проверок фиксирует факты неиспользования закупленного оборудования при реализации 2 региональных проектов.</w:t>
      </w:r>
    </w:p>
    <w:p>
      <w:pPr>
        <w:pStyle w:val="2"/>
        <w:spacing w:before="0" w:after="0"/>
        <w:ind w:firstLine="567"/>
        <w:jc w:val="both"/>
        <w:rPr>
          <w:rFonts w:ascii="Times New Roman" w:hAnsi="Times New Roman" w:eastAsia="Times New Roman"/>
          <w:b w:val="0"/>
          <w:bCs w:val="0"/>
          <w:color w:val="262626"/>
          <w:sz w:val="32"/>
          <w:szCs w:val="32"/>
          <w:lang w:val="ru-RU" w:eastAsia="ru-RU"/>
        </w:rPr>
      </w:pPr>
      <w:r>
        <w:rPr>
          <w:rFonts w:ascii="Times New Roman" w:hAnsi="Times New Roman"/>
          <w:b w:val="0"/>
          <w:color w:val="auto"/>
          <w:sz w:val="32"/>
          <w:szCs w:val="32"/>
          <w:lang w:val="ru-RU"/>
        </w:rPr>
        <w:t xml:space="preserve"> 3.1. </w:t>
      </w:r>
      <w:r>
        <w:rPr>
          <w:rFonts w:ascii="Times New Roman" w:hAnsi="Times New Roman" w:eastAsia="Times New Roman"/>
          <w:b w:val="0"/>
          <w:bCs w:val="0"/>
          <w:color w:val="262626"/>
          <w:sz w:val="32"/>
          <w:szCs w:val="32"/>
          <w:lang w:val="ru-RU" w:eastAsia="ru-RU"/>
        </w:rPr>
        <w:t xml:space="preserve">В ходе проверки использования бюджетных средств, выделенных на реализацию мероприятия в рамках реализации регионального проекта «Спорт - норма жизни» установлены факты неиспользования автономным учреждением «СШОР № 10 по самбо и дзюдо» спортивного инвентаря, приобретенного за счет средств федерального и республиканского бюджета в рамках реализации данного регионального проекта, которые были приобретены и приняты к учету в августе, ноябре 2019 года, на общую сумму 2 033,1 тыс. рублей. Спортивный инвентарь на момент проверки находился в не распакованных коробках. </w:t>
      </w:r>
    </w:p>
    <w:p>
      <w:pPr>
        <w:spacing w:after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Также, в ходе данной проверки установлены факты вывоза  тренажеров и спортивного инвентаря в количестве 15 ед. на общую сумму 988,9 тыс. рублей в коммерческую организацию, которая использует их, в том числе в предпринимательской деятельности. Соответственно, не обеспечивается сохранность, целевое и эффективное использование имущества, приобретенного за счет бюджетных средств. </w:t>
      </w:r>
    </w:p>
    <w:p>
      <w:pPr>
        <w:spacing w:after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Документы, подтверждающие согласование действий по перемещению с Учредителем (Минспорта Чувашии) и уполномоченным органом в области управления имуществом (Минюст Чувашии, Минэкономразвития Чувашии), отсутствуют.</w:t>
      </w:r>
    </w:p>
    <w:p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Одновременно необходимо отметить, что в Учреждении имелись собственные пустующие помещения общей площадью 461,5 кв.м. </w:t>
      </w:r>
    </w:p>
    <w:p>
      <w:pPr>
        <w:spacing w:after="0" w:line="240" w:lineRule="auto"/>
        <w:ind w:firstLine="709"/>
        <w:jc w:val="both"/>
        <w:rPr>
          <w:sz w:val="18"/>
          <w:szCs w:val="18"/>
        </w:rPr>
      </w:pPr>
      <w:r>
        <w:rPr>
          <w:sz w:val="32"/>
          <w:szCs w:val="32"/>
        </w:rPr>
        <w:t xml:space="preserve"> 3.2. Аналогичная ситуация установлена в ходе проверок 11 школ в части установки поставленного оборудования в рамках реализации </w:t>
      </w:r>
      <w:r>
        <w:rPr>
          <w:b/>
          <w:sz w:val="32"/>
          <w:szCs w:val="32"/>
        </w:rPr>
        <w:t>регионального проекта «Цифровая образовательная среда».</w:t>
      </w:r>
      <w:r>
        <w:rPr>
          <w:sz w:val="32"/>
          <w:szCs w:val="32"/>
        </w:rPr>
        <w:t xml:space="preserve"> Выявлены факты  неиспользования  4 школами лабораторного оборудования и учебных приборов, </w:t>
      </w:r>
      <w:r>
        <w:rPr>
          <w:b/>
          <w:sz w:val="32"/>
          <w:szCs w:val="32"/>
        </w:rPr>
        <w:t>закупленного централизованно Минобразования Чувашии</w:t>
      </w:r>
      <w:r>
        <w:rPr>
          <w:sz w:val="32"/>
          <w:szCs w:val="32"/>
        </w:rPr>
        <w:t>.</w:t>
      </w:r>
    </w:p>
    <w:p>
      <w:pPr>
        <w:spacing w:after="0" w:line="240" w:lineRule="auto"/>
        <w:ind w:firstLine="709"/>
        <w:jc w:val="both"/>
        <w:rPr>
          <w:sz w:val="18"/>
          <w:szCs w:val="18"/>
        </w:rPr>
      </w:pPr>
      <w:r>
        <w:rPr>
          <w:sz w:val="32"/>
          <w:szCs w:val="32"/>
        </w:rPr>
        <w:t>Таким образом, данные факты указывают на отсутствие достижения соответствующих результатов, что в соответствии со</w:t>
      </w:r>
      <w:r>
        <w:rPr>
          <w:b/>
          <w:bCs/>
        </w:rPr>
        <w:t xml:space="preserve">  </w:t>
      </w:r>
      <w:r>
        <w:rPr>
          <w:sz w:val="32"/>
          <w:szCs w:val="32"/>
        </w:rPr>
        <w:t>ст. 34</w:t>
      </w:r>
      <w:r>
        <w:rPr>
          <w:b/>
          <w:bCs/>
        </w:rPr>
        <w:t xml:space="preserve"> </w:t>
      </w:r>
      <w:r>
        <w:rPr>
          <w:sz w:val="32"/>
          <w:szCs w:val="32"/>
        </w:rPr>
        <w:t>Бюджетного кодекса Российской Федерации является неэффективным использованием бюджетных средств.</w:t>
      </w:r>
    </w:p>
    <w:p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Также следует отметить, что в нарушение Инструкции № 157н администрациями районов не осуществлялся учет поступившего в образовательные учреждения  оборудования на общую сумму 17 294,9 тыс. рублей на забалансовом счете 26, и документально не оформлялась сохранность полученного оборудования (до оформления извещения передачи расходов от государственного заказчика), что указывает на возникновение риска утраты (порчи) поставленного оборудования на указанную сумму.</w:t>
      </w:r>
    </w:p>
    <w:p>
      <w:pPr>
        <w:spacing w:after="0" w:line="240" w:lineRule="auto"/>
        <w:ind w:firstLine="709"/>
        <w:jc w:val="both"/>
        <w:rPr>
          <w:color w:val="262626"/>
          <w:sz w:val="32"/>
          <w:szCs w:val="32"/>
          <w:shd w:val="clear" w:color="auto" w:fill="FFFFFF"/>
        </w:rPr>
      </w:pPr>
      <w:r>
        <w:rPr>
          <w:color w:val="262626"/>
          <w:sz w:val="32"/>
          <w:szCs w:val="32"/>
          <w:shd w:val="clear" w:color="auto" w:fill="FFFFFF"/>
        </w:rPr>
        <w:t>Уважаемый Олег Алексеевич, в целях повышения эффективности использования бюджетных средств, Контрольно-счетная палата предлагает государственным и муниципальным заказчикам:</w:t>
      </w:r>
    </w:p>
    <w:p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color w:val="262626"/>
          <w:sz w:val="32"/>
          <w:szCs w:val="32"/>
          <w:shd w:val="clear" w:color="auto" w:fill="FFFFFF"/>
        </w:rPr>
        <w:t xml:space="preserve">- при формировании НМЦЦ обеспечить изучение всех источников информации о рыночной стоимости товаров (оборудования),  в первую очередь, ранее состоявшихся аналогичных закупок; </w:t>
      </w:r>
    </w:p>
    <w:p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color w:val="262626"/>
          <w:sz w:val="32"/>
          <w:szCs w:val="32"/>
        </w:rPr>
        <w:t>- осуществлять контроль за эффективным использованием приобретаемого оборудования получателями оборудования и  обеспечить его сохранность и соблюдение требований бухгалтерского учета до передачи в установленном порядке.</w:t>
      </w:r>
    </w:p>
    <w:p>
      <w:pPr>
        <w:spacing w:after="0" w:line="240" w:lineRule="auto"/>
        <w:ind w:firstLine="709"/>
        <w:jc w:val="both"/>
        <w:rPr>
          <w:color w:val="262626"/>
          <w:sz w:val="32"/>
          <w:szCs w:val="32"/>
        </w:rPr>
      </w:pPr>
      <w:r>
        <w:rPr>
          <w:color w:val="262626"/>
          <w:sz w:val="32"/>
          <w:szCs w:val="32"/>
        </w:rPr>
        <w:t>- в целях исключения неэффективного использования бюджетных средств обеспечить наличие исполнительной документации, предусмотренной условиями государственного (муниципального) контракта.</w:t>
      </w:r>
    </w:p>
    <w:p>
      <w:pPr>
        <w:spacing w:after="0" w:line="240" w:lineRule="auto"/>
        <w:ind w:firstLine="709"/>
        <w:jc w:val="both"/>
        <w:rPr>
          <w:color w:val="262626"/>
          <w:sz w:val="32"/>
          <w:szCs w:val="32"/>
          <w:shd w:val="clear" w:color="auto" w:fill="FFFFFF"/>
        </w:rPr>
      </w:pPr>
      <w:r>
        <w:rPr>
          <w:color w:val="262626"/>
          <w:sz w:val="32"/>
          <w:szCs w:val="32"/>
        </w:rPr>
        <w:t xml:space="preserve"> </w:t>
      </w:r>
      <w:r>
        <w:rPr>
          <w:color w:val="262626"/>
          <w:sz w:val="32"/>
          <w:szCs w:val="32"/>
          <w:shd w:val="clear" w:color="auto" w:fill="FFFFFF"/>
        </w:rPr>
        <w:t>Контрольно-счетная палата продолжит контроль за целевым и эффективным использованием бюджетных средств.</w:t>
      </w:r>
    </w:p>
    <w:p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color w:val="262626"/>
          <w:sz w:val="32"/>
          <w:szCs w:val="32"/>
          <w:shd w:val="clear" w:color="auto" w:fill="FFFFFF"/>
        </w:rPr>
        <w:t>Доклад окончен, спасибо за внимание!</w:t>
      </w:r>
    </w:p>
    <w:p>
      <w:pPr>
        <w:rPr>
          <w:sz w:val="32"/>
          <w:szCs w:val="32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49"/>
    <w:rsid w:val="00232032"/>
    <w:rsid w:val="005F61BF"/>
    <w:rsid w:val="00872649"/>
    <w:rsid w:val="009717B5"/>
    <w:rsid w:val="00AE0A1D"/>
    <w:rsid w:val="00B33292"/>
    <w:rsid w:val="00EC58C2"/>
    <w:rsid w:val="7324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eastAsia="Calibri"/>
      <w:b/>
      <w:bCs/>
      <w:color w:val="26282F"/>
      <w:lang w:val="zh-CN" w:eastAsia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10"/>
    <w:semiHidden/>
    <w:unhideWhenUsed/>
    <w:uiPriority w:val="0"/>
    <w:pPr>
      <w:spacing w:after="0" w:line="240" w:lineRule="auto"/>
      <w:ind w:right="140"/>
      <w:jc w:val="center"/>
    </w:pPr>
    <w:rPr>
      <w:sz w:val="28"/>
    </w:rPr>
  </w:style>
  <w:style w:type="character" w:customStyle="1" w:styleId="9">
    <w:name w:val="Заголовок 1 Знак"/>
    <w:basedOn w:val="3"/>
    <w:link w:val="2"/>
    <w:uiPriority w:val="99"/>
    <w:rPr>
      <w:rFonts w:ascii="Arial" w:hAnsi="Arial" w:eastAsia="Calibri" w:cs="Times New Roman"/>
      <w:b/>
      <w:bCs/>
      <w:color w:val="26282F"/>
      <w:sz w:val="24"/>
      <w:szCs w:val="24"/>
      <w:lang w:val="zh-CN" w:eastAsia="zh-CN"/>
    </w:rPr>
  </w:style>
  <w:style w:type="character" w:customStyle="1" w:styleId="10">
    <w:name w:val="Основной текст Знак"/>
    <w:basedOn w:val="3"/>
    <w:link w:val="8"/>
    <w:semiHidden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11">
    <w:name w:val="Цветовое выделение"/>
    <w:qFormat/>
    <w:uiPriority w:val="99"/>
    <w:rPr>
      <w:b/>
      <w:bCs/>
      <w:color w:val="26282F"/>
    </w:rPr>
  </w:style>
  <w:style w:type="character" w:customStyle="1" w:styleId="12">
    <w:name w:val="Текст выноски Знак"/>
    <w:basedOn w:val="3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5C5083-88F8-46A3-B7C2-0851820A19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909</Words>
  <Characters>5185</Characters>
  <Lines>43</Lines>
  <Paragraphs>12</Paragraphs>
  <TotalTime>23</TotalTime>
  <ScaleCrop>false</ScaleCrop>
  <LinksUpToDate>false</LinksUpToDate>
  <CharactersWithSpaces>6082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2021-03-19T06:05:00Z</dcterms:created>
  <dc:creator>Аристова СИ</dc:creator>
  <cp:lastModifiedBy>Петров АГ</cp:lastModifiedBy>
  <cp:lastPrinted>2021-03-19T04:31:00Z</cp:lastPrinted>
  <dcterms:modified xsi:type="dcterms:W3CDTF">2021-03-19T14:30:48Z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