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27" w:rsidRDefault="006E5127">
      <w:pPr>
        <w:pStyle w:val="ConsPlusNormal"/>
        <w:jc w:val="right"/>
        <w:outlineLvl w:val="0"/>
      </w:pPr>
      <w:r>
        <w:t>Утвержден</w:t>
      </w:r>
    </w:p>
    <w:p w:rsidR="006E5127" w:rsidRDefault="006E5127">
      <w:pPr>
        <w:pStyle w:val="ConsPlusNormal"/>
        <w:jc w:val="right"/>
      </w:pPr>
      <w:r>
        <w:t>постановлением</w:t>
      </w:r>
    </w:p>
    <w:p w:rsidR="006E5127" w:rsidRDefault="006E5127">
      <w:pPr>
        <w:pStyle w:val="ConsPlusNormal"/>
        <w:jc w:val="right"/>
      </w:pPr>
      <w:r>
        <w:t>Кабинета Министров</w:t>
      </w:r>
    </w:p>
    <w:p w:rsidR="006E5127" w:rsidRDefault="006E5127">
      <w:pPr>
        <w:pStyle w:val="ConsPlusNormal"/>
        <w:jc w:val="right"/>
      </w:pPr>
      <w:r>
        <w:t>Чувашской Республики</w:t>
      </w:r>
    </w:p>
    <w:p w:rsidR="006E5127" w:rsidRDefault="006E5127">
      <w:pPr>
        <w:pStyle w:val="ConsPlusNormal"/>
        <w:jc w:val="right"/>
      </w:pPr>
      <w:r>
        <w:t>от 27.12.2019 N 607</w:t>
      </w:r>
    </w:p>
    <w:p w:rsidR="006E5127" w:rsidRDefault="006E5127">
      <w:pPr>
        <w:pStyle w:val="ConsPlusNormal"/>
        <w:jc w:val="right"/>
      </w:pPr>
      <w:r>
        <w:t>(приложение N 4)</w:t>
      </w:r>
    </w:p>
    <w:p w:rsidR="006E5127" w:rsidRDefault="006E5127">
      <w:pPr>
        <w:pStyle w:val="ConsPlusNormal"/>
        <w:jc w:val="both"/>
      </w:pPr>
    </w:p>
    <w:p w:rsidR="006E5127" w:rsidRDefault="006E5127">
      <w:pPr>
        <w:pStyle w:val="ConsPlusTitle"/>
        <w:jc w:val="center"/>
      </w:pPr>
      <w:r>
        <w:t>ПОРЯДОК</w:t>
      </w:r>
    </w:p>
    <w:p w:rsidR="006E5127" w:rsidRDefault="006E5127">
      <w:pPr>
        <w:pStyle w:val="ConsPlusTitle"/>
        <w:jc w:val="center"/>
      </w:pPr>
      <w:r>
        <w:t>ПРОВЕДЕНИЯ КОНКУРСНОГО ОТБОРА ПРОЕКТОВ, НАПРАВЛЕННЫХ</w:t>
      </w:r>
    </w:p>
    <w:p w:rsidR="006E5127" w:rsidRDefault="006E5127">
      <w:pPr>
        <w:pStyle w:val="ConsPlusTitle"/>
        <w:jc w:val="center"/>
      </w:pPr>
      <w:r>
        <w:t xml:space="preserve">НА РАЗРАБОТКУ ПРОЕКТНОЙ ДОКУМЕНТАЦИИ ОБЪЕКТОВ </w:t>
      </w:r>
      <w:proofErr w:type="gramStart"/>
      <w:r>
        <w:t>КАПИТАЛЬНОГО</w:t>
      </w:r>
      <w:proofErr w:type="gramEnd"/>
    </w:p>
    <w:p w:rsidR="006E5127" w:rsidRDefault="006E5127">
      <w:pPr>
        <w:pStyle w:val="ConsPlusTitle"/>
        <w:jc w:val="center"/>
      </w:pPr>
      <w:r>
        <w:t>СТРОИТЕЛЬСТВА, ПРОВЕДЕНИЕ ГОСУДАРСТВЕННОЙ ЭКСПЕРТИЗЫ</w:t>
      </w:r>
    </w:p>
    <w:p w:rsidR="006E5127" w:rsidRDefault="006E5127">
      <w:pPr>
        <w:pStyle w:val="ConsPlusTitle"/>
        <w:jc w:val="center"/>
      </w:pPr>
      <w:r>
        <w:t>ПРОЕКТНОЙ ДОКУМЕНТАЦИИ И РЕЗУЛЬТАТОВ ИНЖЕНЕРНЫХ ИЗЫСКАНИЙ</w:t>
      </w:r>
    </w:p>
    <w:p w:rsidR="006E5127" w:rsidRDefault="006E5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5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127" w:rsidRDefault="006E5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127" w:rsidRDefault="006E512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10.06.2020 </w:t>
            </w:r>
            <w:hyperlink r:id="rId5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E5127" w:rsidRDefault="006E51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25.11.2020 </w:t>
            </w:r>
            <w:hyperlink r:id="rId6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E5127" w:rsidRDefault="006E5127">
      <w:pPr>
        <w:pStyle w:val="ConsPlusNormal"/>
        <w:jc w:val="both"/>
      </w:pPr>
    </w:p>
    <w:p w:rsidR="006E5127" w:rsidRDefault="006E5127">
      <w:pPr>
        <w:pStyle w:val="ConsPlusNormal"/>
        <w:ind w:firstLine="540"/>
        <w:jc w:val="both"/>
      </w:pPr>
      <w:r>
        <w:t>1. Настоящий Порядок определяет процедуру организации и проведения конкурсного отбора проектов, направленных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(далее также соответственно - конкурсный отбор, проект).</w:t>
      </w:r>
    </w:p>
    <w:p w:rsidR="006E5127" w:rsidRDefault="006E51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300)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2. Уполномоченным органом по проведению конкурсного отбора является Министерство сельского хозяйства Чувашской Республики (далее - организатор конкурсного отбора).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3. Участниками конкурсного отбора являются администрации муниципальных районов Чувашской Республики (далее соответственно - участник конкурсного отбора, муниципальный район).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4. Конкурсный отбор осуществляется конкурсной комиссией по отбору проектов в сфере комплексного развития сельских территорий (далее - конкурсная комиссия).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Целью конкурсного отбора являются разработка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 в целях участия в реализации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 (далее - государственная программа), развития общественных территорий.</w:t>
      </w:r>
      <w:proofErr w:type="gramEnd"/>
    </w:p>
    <w:p w:rsidR="006E5127" w:rsidRDefault="006E51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10.06.2020 </w:t>
      </w:r>
      <w:hyperlink r:id="rId9" w:history="1">
        <w:r>
          <w:rPr>
            <w:color w:val="0000FF"/>
          </w:rPr>
          <w:t>N 300</w:t>
        </w:r>
      </w:hyperlink>
      <w:r>
        <w:t xml:space="preserve">, от 25.11.2020 </w:t>
      </w:r>
      <w:hyperlink r:id="rId10" w:history="1">
        <w:r>
          <w:rPr>
            <w:color w:val="0000FF"/>
          </w:rPr>
          <w:t>N 657</w:t>
        </w:r>
      </w:hyperlink>
      <w:r>
        <w:t>)</w:t>
      </w:r>
    </w:p>
    <w:p w:rsidR="006E5127" w:rsidRDefault="006E5127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6. К конкурсному отбору допускаются проекты, направленные </w:t>
      </w:r>
      <w:proofErr w:type="gramStart"/>
      <w:r>
        <w:t>на</w:t>
      </w:r>
      <w:proofErr w:type="gramEnd"/>
      <w:r>
        <w:t>:</w:t>
      </w:r>
    </w:p>
    <w:p w:rsidR="006E5127" w:rsidRDefault="006E5127">
      <w:pPr>
        <w:pStyle w:val="ConsPlusNormal"/>
        <w:spacing w:before="220"/>
        <w:ind w:firstLine="540"/>
        <w:jc w:val="both"/>
      </w:pPr>
      <w:proofErr w:type="gramStart"/>
      <w:r>
        <w:t>а) создание, строительство, реконструкцию (модернизацию) объектов, включая многофункциональные, предназначенных для предоставления соответствующих услуг населению (в том числе маломобильному):</w:t>
      </w:r>
      <w:proofErr w:type="gramEnd"/>
    </w:p>
    <w:p w:rsidR="006E5127" w:rsidRDefault="006E5127">
      <w:pPr>
        <w:pStyle w:val="ConsPlusNormal"/>
        <w:spacing w:before="220"/>
        <w:ind w:firstLine="540"/>
        <w:jc w:val="both"/>
      </w:pPr>
      <w:r>
        <w:t>дошкольных образовательных организаций;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общеобразовательных организаций;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организаций дополнительного образования;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медицинских организаций (за исключением больниц);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lastRenderedPageBreak/>
        <w:t>организаций культурно-досугового типа;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физкультурно-спортивных организаций;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организаций социального обслуживания;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б) строительство, реконструкцию централизованных и нецентрализованных систем водоснабжения, водоотведения, канализации, очистных сооружений, станций водоподготовки, водозаборных и водосбросных сооружений для функционирования объектов жилого и нежилого фонда;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в) строительство блочно-модульных котельных и перевод многоквартирных домов на индивидуальное отопление (включая техническое присоединение к газовым сетям), строительство и реконструкцию тепловых сетей (за исключением котельных);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г) строительство газораспределительных сетей с распределительными газопроводами низкого давления (для газоснабжения жилых домов, общественных зданий и коммунально-бытовых предприятий) и среднего давления (для подачи газа в газопровод низкого давления);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д) строительство, приобретение и монтаж газо-поршневых установок, газгольдеров, сетей электропередачи внутри муниципального образования;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е) строительство, реконструкцию электрических сетей уличного освещения, установку электрооборудования для уличного освещения (в том числе с использованием энергосберегающих технологий);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ж) строительство и оборудование автономных и возобновляемых источников энергии с применением технологий энергосбережения;</w:t>
      </w:r>
    </w:p>
    <w:p w:rsidR="006E5127" w:rsidRDefault="006E5127">
      <w:pPr>
        <w:pStyle w:val="ConsPlusNormal"/>
        <w:spacing w:before="220"/>
        <w:ind w:firstLine="540"/>
        <w:jc w:val="both"/>
      </w:pPr>
      <w:proofErr w:type="gramStart"/>
      <w:r>
        <w:t>з) строительство, реконструкцию, капитальный ремонт объектов в рамках мероприятий по развитию общественных территорий (площадей, набережных, улиц, пешеходных зон, скверов, парков, иных территорий).</w:t>
      </w:r>
      <w:proofErr w:type="gramEnd"/>
    </w:p>
    <w:p w:rsidR="006E5127" w:rsidRDefault="006E5127">
      <w:pPr>
        <w:pStyle w:val="ConsPlusNormal"/>
        <w:jc w:val="both"/>
      </w:pPr>
      <w:r>
        <w:t xml:space="preserve">(п. 6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25.11.2020 N 657)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7. Реализация проекта осуществляется с привлечением средств бюджета муниципального района.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8. Проект должен быть реализован в срок не более двух лет.</w:t>
      </w:r>
    </w:p>
    <w:p w:rsidR="006E5127" w:rsidRDefault="006E51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25.11.2020 N 657)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9. Организатор конкурсного отбора осуществляет: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опубликование не </w:t>
      </w:r>
      <w:proofErr w:type="gramStart"/>
      <w:r>
        <w:t>позднее</w:t>
      </w:r>
      <w:proofErr w:type="gramEnd"/>
      <w:r>
        <w:t xml:space="preserve"> чем за 30 календарных дней до даты окончания приема заявок на своем официальном сайте на Портале органов власти Чувашской Республики в информационно-телекоммуникационной сети "Интернет" (далее - официальный сайт) извещения о порядке проведения, условиях конкурсного отбора, сроках начала и окончания приема заявок на участие в конкурсном отборе (далее соответственно - заявка, извещение), рассылку указанной информации в письменной форме в администрации муниципальных районов;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прием и регистрацию заявок в течение 30 календарных дней со дня опубликования извещения;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назначение даты заседания конкурсной комиссии не позднее 15 календарных дней со дня окончания срока приема заявок и документов, указанных в </w:t>
      </w:r>
      <w:hyperlink w:anchor="P54" w:history="1">
        <w:r>
          <w:rPr>
            <w:color w:val="0000FF"/>
          </w:rPr>
          <w:t>пункте 10</w:t>
        </w:r>
      </w:hyperlink>
      <w:r>
        <w:t xml:space="preserve"> настоящего Порядка;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учет и хранение представленных на конкурсный отбор документов;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lastRenderedPageBreak/>
        <w:t>размещение на официальном сайте решений конкурсной комиссии.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Извещение должно содержать следующую информацию: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а) наименование и адрес организатора конкурсного отбора;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б) адрес, дату, время начала и окончания приема заявок;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в) перечень документов, представляемых на конкурсный отбор, и требования к их оформлению;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г) контактные данные.</w:t>
      </w:r>
    </w:p>
    <w:p w:rsidR="006E5127" w:rsidRDefault="006E5127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10. Участник конкурсного отбора в течение 30 календарных дней </w:t>
      </w:r>
      <w:proofErr w:type="gramStart"/>
      <w:r>
        <w:t>с даты начала</w:t>
      </w:r>
      <w:proofErr w:type="gramEnd"/>
      <w:r>
        <w:t xml:space="preserve"> приема заявок представляет организатору конкурсного отбора следующие документы:</w:t>
      </w:r>
    </w:p>
    <w:p w:rsidR="006E5127" w:rsidRDefault="006E5127">
      <w:pPr>
        <w:pStyle w:val="ConsPlusNormal"/>
        <w:spacing w:before="220"/>
        <w:ind w:firstLine="540"/>
        <w:jc w:val="both"/>
      </w:pPr>
      <w:hyperlink w:anchor="P94" w:history="1">
        <w:r>
          <w:rPr>
            <w:color w:val="0000FF"/>
          </w:rPr>
          <w:t>заявку</w:t>
        </w:r>
      </w:hyperlink>
      <w:r>
        <w:t xml:space="preserve"> по форме согласно приложению к настоящему Порядку;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задание на проектирование;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технические условия на подключение к сетям инженерно-технического обеспечения;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предварительный расчет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изысканий;</w:t>
      </w:r>
    </w:p>
    <w:p w:rsidR="006E5127" w:rsidRDefault="006E51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300)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гарантийное письмо администрации муниципального района о софинансировании проекта за счет средств бюджета муниципального района.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11. Участник конкурсного отбора гарантирует, что вся информация, содержащаяся в заявке и прилагаемых к ней документах, является подлинной и достоверной.</w:t>
      </w:r>
    </w:p>
    <w:p w:rsidR="006E5127" w:rsidRDefault="006E5127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12. </w:t>
      </w:r>
      <w:proofErr w:type="gramStart"/>
      <w:r>
        <w:t>Заявка и прилагаемые к ней документы представляются организатору конкурсного отбора в срок, указанный в извещении, на бумажном и электронном носителях.</w:t>
      </w:r>
      <w:proofErr w:type="gramEnd"/>
    </w:p>
    <w:p w:rsidR="006E5127" w:rsidRDefault="006E5127">
      <w:pPr>
        <w:pStyle w:val="ConsPlusNormal"/>
        <w:spacing w:before="220"/>
        <w:ind w:firstLine="540"/>
        <w:jc w:val="both"/>
      </w:pPr>
      <w:r>
        <w:t>13. Участник конкурсного отбора имеет право отозвать свою заявку, сообщив об этом письменно организатору конкурсного отбора до окончания срока приема заявок, и отказаться от участия в конкурсном отборе.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14. Конкурсная комиссия отклоняет заявку в случаях, если: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а) проект не соответствует требованиям, указанным в </w:t>
      </w:r>
      <w:hyperlink w:anchor="P23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б) не представлены документы, предусмотренные </w:t>
      </w:r>
      <w:hyperlink w:anchor="P54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в) не выполнено требование, предусмотренное </w:t>
      </w:r>
      <w:hyperlink w:anchor="P63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15. Заявки представляются с учетом рассмотрения возможности и 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 xml:space="preserve">16. Проекты, предусматривающие направления, установленные </w:t>
      </w:r>
      <w:hyperlink w:anchor="P23" w:history="1">
        <w:r>
          <w:rPr>
            <w:color w:val="0000FF"/>
          </w:rPr>
          <w:t>пунктом 6</w:t>
        </w:r>
      </w:hyperlink>
      <w:r>
        <w:t xml:space="preserve"> настоящего </w:t>
      </w:r>
      <w:r>
        <w:lastRenderedPageBreak/>
        <w:t xml:space="preserve">Порядка, оцениваются по критериям конкурсного отбора проектов комплексного развития сельских территорий (сельских агломераций) в соответствии с </w:t>
      </w:r>
      <w:hyperlink r:id="rId14" w:history="1">
        <w:r>
          <w:rPr>
            <w:color w:val="0000FF"/>
          </w:rPr>
          <w:t>пунктами 15</w:t>
        </w:r>
      </w:hyperlink>
      <w:r>
        <w:t xml:space="preserve"> - </w:t>
      </w:r>
      <w:hyperlink r:id="rId15" w:history="1">
        <w:r>
          <w:rPr>
            <w:color w:val="0000FF"/>
          </w:rPr>
          <w:t>27</w:t>
        </w:r>
      </w:hyperlink>
      <w:r>
        <w:t xml:space="preserve"> Порядка проведения конкурсного отбора проектов комплексного развития сельских территорий (сельских агломераций) (приложение N 5), утвержденного настоящим постановлением.</w:t>
      </w:r>
    </w:p>
    <w:p w:rsidR="006E5127" w:rsidRDefault="006E5127">
      <w:pPr>
        <w:pStyle w:val="ConsPlusNormal"/>
        <w:spacing w:before="220"/>
        <w:ind w:firstLine="540"/>
        <w:jc w:val="both"/>
      </w:pPr>
      <w:proofErr w:type="gramStart"/>
      <w:r>
        <w:t>Проекты, предусматривающие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изысканий, планируемых к строительству в рамках реализации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застройку, предусмотренных Порядком проведения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</w:t>
      </w:r>
      <w:proofErr w:type="gramEnd"/>
      <w:r>
        <w:t xml:space="preserve"> жилищную застройку </w:t>
      </w:r>
      <w:hyperlink r:id="rId16" w:history="1">
        <w:r>
          <w:rPr>
            <w:color w:val="0000FF"/>
          </w:rPr>
          <w:t>(приложение N 2)</w:t>
        </w:r>
      </w:hyperlink>
      <w:r>
        <w:t>, утвержденным настоящим постановлением, рассматриваются конкурсной комиссией в первоочередном порядке без прохождения конкурсного отбора.</w:t>
      </w:r>
    </w:p>
    <w:p w:rsidR="006E5127" w:rsidRDefault="006E512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300)</w:t>
      </w:r>
    </w:p>
    <w:p w:rsidR="006E5127" w:rsidRDefault="006E5127">
      <w:pPr>
        <w:pStyle w:val="ConsPlusNormal"/>
        <w:spacing w:before="220"/>
        <w:ind w:firstLine="540"/>
        <w:jc w:val="both"/>
      </w:pPr>
      <w:proofErr w:type="gramStart"/>
      <w:r>
        <w:t>В случае если по объектам капитального строительства, на которые разработана проектная документация, получено положительное заключение государственной экспертизы проектной документации и результатов инженерных изысканий, не оказана финансовая поддержка за счет средств федерального бюджета в рамках реализации мероприятий государственной программы, данные объекты могут быть реализованы за счет иных мер государственной поддержки соответствующих программ.</w:t>
      </w:r>
      <w:proofErr w:type="gramEnd"/>
    </w:p>
    <w:p w:rsidR="006E5127" w:rsidRDefault="006E512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10.06.2020 N 300)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17. По результатам конкурсного отбора конкурсной комиссией формируется рейтинг проектов в порядке убывания присвоенных им суммарных баллов.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В случае если несколько проектов набрали равное количество баллов, победителями признаются проекты, которые поступили раньше.</w:t>
      </w:r>
    </w:p>
    <w:p w:rsidR="006E5127" w:rsidRDefault="006E5127">
      <w:pPr>
        <w:pStyle w:val="ConsPlusNormal"/>
        <w:spacing w:before="220"/>
        <w:ind w:firstLine="540"/>
        <w:jc w:val="both"/>
      </w:pPr>
      <w:r>
        <w:t>Результаты конкурсного отбора оформляются протоколом заседания конкурсной комиссии.</w:t>
      </w:r>
    </w:p>
    <w:p w:rsidR="006E5127" w:rsidRDefault="006E5127">
      <w:pPr>
        <w:pStyle w:val="ConsPlusNormal"/>
        <w:jc w:val="both"/>
      </w:pPr>
    </w:p>
    <w:p w:rsidR="006E5127" w:rsidRDefault="006E5127">
      <w:pPr>
        <w:pStyle w:val="ConsPlusNormal"/>
        <w:jc w:val="both"/>
      </w:pPr>
    </w:p>
    <w:p w:rsidR="006E5127" w:rsidRDefault="006E5127">
      <w:pPr>
        <w:pStyle w:val="ConsPlusNormal"/>
        <w:jc w:val="both"/>
      </w:pPr>
    </w:p>
    <w:p w:rsidR="006E5127" w:rsidRDefault="006E5127">
      <w:pPr>
        <w:pStyle w:val="ConsPlusNormal"/>
        <w:jc w:val="both"/>
      </w:pPr>
    </w:p>
    <w:p w:rsidR="006E5127" w:rsidRDefault="006E5127">
      <w:pPr>
        <w:pStyle w:val="ConsPlusNormal"/>
        <w:jc w:val="both"/>
      </w:pPr>
    </w:p>
    <w:p w:rsidR="006E5127" w:rsidRDefault="006E5127">
      <w:pPr>
        <w:pStyle w:val="ConsPlusNormal"/>
        <w:jc w:val="right"/>
        <w:outlineLvl w:val="1"/>
      </w:pPr>
      <w:r>
        <w:t>Приложение</w:t>
      </w:r>
    </w:p>
    <w:p w:rsidR="006E5127" w:rsidRDefault="006E5127">
      <w:pPr>
        <w:pStyle w:val="ConsPlusNormal"/>
        <w:jc w:val="right"/>
      </w:pPr>
      <w:r>
        <w:t>к Порядку проведения конкурсного отбора</w:t>
      </w:r>
    </w:p>
    <w:p w:rsidR="006E5127" w:rsidRDefault="006E5127">
      <w:pPr>
        <w:pStyle w:val="ConsPlusNormal"/>
        <w:jc w:val="right"/>
      </w:pPr>
      <w:r>
        <w:t>проектов, направленных на разработку</w:t>
      </w:r>
    </w:p>
    <w:p w:rsidR="006E5127" w:rsidRDefault="006E5127">
      <w:pPr>
        <w:pStyle w:val="ConsPlusNormal"/>
        <w:jc w:val="right"/>
      </w:pPr>
      <w:r>
        <w:t>проектной документации объектов</w:t>
      </w:r>
    </w:p>
    <w:p w:rsidR="006E5127" w:rsidRDefault="006E5127">
      <w:pPr>
        <w:pStyle w:val="ConsPlusNormal"/>
        <w:jc w:val="right"/>
      </w:pPr>
      <w:r>
        <w:t>капитального строительства,</w:t>
      </w:r>
    </w:p>
    <w:p w:rsidR="006E5127" w:rsidRDefault="006E5127">
      <w:pPr>
        <w:pStyle w:val="ConsPlusNormal"/>
        <w:jc w:val="right"/>
      </w:pPr>
      <w:r>
        <w:t>проведение государственной экспертизы</w:t>
      </w:r>
    </w:p>
    <w:p w:rsidR="006E5127" w:rsidRDefault="006E5127">
      <w:pPr>
        <w:pStyle w:val="ConsPlusNormal"/>
        <w:jc w:val="right"/>
      </w:pPr>
      <w:r>
        <w:t>проектной документации и результатов</w:t>
      </w:r>
    </w:p>
    <w:p w:rsidR="006E5127" w:rsidRDefault="006E5127">
      <w:pPr>
        <w:pStyle w:val="ConsPlusNormal"/>
        <w:jc w:val="right"/>
      </w:pPr>
      <w:r>
        <w:t>инженерных изысканий</w:t>
      </w:r>
    </w:p>
    <w:p w:rsidR="006E5127" w:rsidRDefault="006E51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E51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E5127" w:rsidRDefault="006E512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5127" w:rsidRDefault="006E51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10.06.2020 N 300)</w:t>
            </w:r>
          </w:p>
        </w:tc>
      </w:tr>
    </w:tbl>
    <w:p w:rsidR="006E5127" w:rsidRDefault="006E5127">
      <w:pPr>
        <w:pStyle w:val="ConsPlusNormal"/>
        <w:jc w:val="both"/>
      </w:pPr>
    </w:p>
    <w:p w:rsidR="006E5127" w:rsidRDefault="006E5127">
      <w:pPr>
        <w:pStyle w:val="ConsPlusNonformat"/>
        <w:jc w:val="both"/>
      </w:pPr>
      <w:bookmarkStart w:id="3" w:name="P94"/>
      <w:bookmarkEnd w:id="3"/>
      <w:r>
        <w:t xml:space="preserve">                                  </w:t>
      </w:r>
      <w:r>
        <w:rPr>
          <w:b/>
        </w:rPr>
        <w:t>ЗАЯВКА</w:t>
      </w:r>
    </w:p>
    <w:p w:rsidR="006E5127" w:rsidRDefault="006E5127">
      <w:pPr>
        <w:pStyle w:val="ConsPlusNonformat"/>
        <w:jc w:val="both"/>
      </w:pPr>
      <w:r>
        <w:t xml:space="preserve">    </w:t>
      </w:r>
      <w:r>
        <w:rPr>
          <w:b/>
        </w:rPr>
        <w:t>на участие в конкурсном отборе проектов, направленных на разработку</w:t>
      </w:r>
    </w:p>
    <w:p w:rsidR="006E5127" w:rsidRDefault="006E5127">
      <w:pPr>
        <w:pStyle w:val="ConsPlusNonformat"/>
        <w:jc w:val="both"/>
      </w:pPr>
      <w:r>
        <w:t xml:space="preserve">        </w:t>
      </w:r>
      <w:r>
        <w:rPr>
          <w:b/>
        </w:rPr>
        <w:t>проектной документации объектов капитального строительства,</w:t>
      </w:r>
    </w:p>
    <w:p w:rsidR="006E5127" w:rsidRDefault="006E5127">
      <w:pPr>
        <w:pStyle w:val="ConsPlusNonformat"/>
        <w:jc w:val="both"/>
      </w:pPr>
      <w:r>
        <w:t xml:space="preserve">       </w:t>
      </w:r>
      <w:r>
        <w:rPr>
          <w:b/>
        </w:rPr>
        <w:t>проведение государственной экспертизы проектной документации</w:t>
      </w:r>
    </w:p>
    <w:p w:rsidR="006E5127" w:rsidRDefault="006E5127">
      <w:pPr>
        <w:pStyle w:val="ConsPlusNonformat"/>
        <w:jc w:val="both"/>
      </w:pPr>
      <w:r>
        <w:t xml:space="preserve">                    </w:t>
      </w:r>
      <w:r>
        <w:rPr>
          <w:b/>
        </w:rPr>
        <w:t>и результатов инженерных изысканий</w:t>
      </w:r>
    </w:p>
    <w:p w:rsidR="006E5127" w:rsidRDefault="006E5127">
      <w:pPr>
        <w:pStyle w:val="ConsPlusNonformat"/>
        <w:jc w:val="both"/>
      </w:pPr>
    </w:p>
    <w:p w:rsidR="006E5127" w:rsidRDefault="006E5127">
      <w:pPr>
        <w:pStyle w:val="ConsPlusNonformat"/>
        <w:jc w:val="both"/>
      </w:pPr>
      <w:r>
        <w:lastRenderedPageBreak/>
        <w:t>1. Наименование проекта</w:t>
      </w:r>
    </w:p>
    <w:p w:rsidR="006E5127" w:rsidRDefault="006E5127">
      <w:pPr>
        <w:pStyle w:val="ConsPlusNonformat"/>
        <w:jc w:val="both"/>
      </w:pPr>
      <w:r>
        <w:t>___________________________________________________________________________</w:t>
      </w:r>
    </w:p>
    <w:p w:rsidR="006E5127" w:rsidRDefault="006E5127">
      <w:pPr>
        <w:pStyle w:val="ConsPlusNonformat"/>
        <w:jc w:val="both"/>
      </w:pPr>
      <w:r>
        <w:t>2. Муниципальный район</w:t>
      </w:r>
    </w:p>
    <w:p w:rsidR="006E5127" w:rsidRDefault="006E5127">
      <w:pPr>
        <w:pStyle w:val="ConsPlusNonformat"/>
        <w:jc w:val="both"/>
      </w:pPr>
      <w:r>
        <w:t>___________________________________________________________________________</w:t>
      </w:r>
    </w:p>
    <w:p w:rsidR="006E5127" w:rsidRDefault="006E5127">
      <w:pPr>
        <w:pStyle w:val="ConsPlusNonformat"/>
        <w:jc w:val="both"/>
      </w:pPr>
      <w:r>
        <w:t>3.  Состав  документов,  представляемых  на  конкурсный  отбор, с указанием</w:t>
      </w:r>
    </w:p>
    <w:p w:rsidR="006E5127" w:rsidRDefault="006E5127">
      <w:pPr>
        <w:pStyle w:val="ConsPlusNonformat"/>
        <w:jc w:val="both"/>
      </w:pPr>
      <w:r>
        <w:t>количества страниц и реквизитов</w:t>
      </w:r>
    </w:p>
    <w:p w:rsidR="006E5127" w:rsidRDefault="006E5127">
      <w:pPr>
        <w:pStyle w:val="ConsPlusNonformat"/>
        <w:jc w:val="both"/>
      </w:pPr>
      <w:r>
        <w:t>___________________________________________________________________________</w:t>
      </w:r>
    </w:p>
    <w:p w:rsidR="006E5127" w:rsidRDefault="006E5127">
      <w:pPr>
        <w:pStyle w:val="ConsPlusNonformat"/>
        <w:jc w:val="both"/>
      </w:pPr>
      <w:r>
        <w:t>4. Мероприятия по реализации проекта</w:t>
      </w:r>
    </w:p>
    <w:p w:rsidR="006E5127" w:rsidRDefault="006E512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6123"/>
        <w:gridCol w:w="1234"/>
        <w:gridCol w:w="1247"/>
      </w:tblGrid>
      <w:tr w:rsidR="006E5127">
        <w:tc>
          <w:tcPr>
            <w:tcW w:w="461" w:type="dxa"/>
            <w:tcBorders>
              <w:left w:val="nil"/>
            </w:tcBorders>
          </w:tcPr>
          <w:p w:rsidR="006E5127" w:rsidRDefault="006E5127">
            <w:pPr>
              <w:pStyle w:val="ConsPlusNormal"/>
              <w:jc w:val="center"/>
            </w:pPr>
            <w:r>
              <w:t>N</w:t>
            </w:r>
          </w:p>
          <w:p w:rsidR="006E5127" w:rsidRDefault="006E512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123" w:type="dxa"/>
          </w:tcPr>
          <w:p w:rsidR="006E5127" w:rsidRDefault="006E5127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1234" w:type="dxa"/>
          </w:tcPr>
          <w:p w:rsidR="006E5127" w:rsidRDefault="006E5127">
            <w:pPr>
              <w:pStyle w:val="ConsPlusNormal"/>
              <w:jc w:val="center"/>
            </w:pPr>
            <w:r>
              <w:t>Полная стоимость, рублей</w:t>
            </w:r>
          </w:p>
        </w:tc>
        <w:tc>
          <w:tcPr>
            <w:tcW w:w="1247" w:type="dxa"/>
            <w:tcBorders>
              <w:right w:val="nil"/>
            </w:tcBorders>
          </w:tcPr>
          <w:p w:rsidR="006E5127" w:rsidRDefault="006E5127">
            <w:pPr>
              <w:pStyle w:val="ConsPlusNormal"/>
              <w:jc w:val="center"/>
            </w:pPr>
            <w:r>
              <w:t>Описание</w:t>
            </w:r>
          </w:p>
        </w:tc>
      </w:tr>
      <w:tr w:rsidR="006E5127">
        <w:tc>
          <w:tcPr>
            <w:tcW w:w="461" w:type="dxa"/>
            <w:tcBorders>
              <w:left w:val="nil"/>
            </w:tcBorders>
          </w:tcPr>
          <w:p w:rsidR="006E5127" w:rsidRDefault="006E512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6E5127" w:rsidRDefault="006E5127">
            <w:pPr>
              <w:pStyle w:val="ConsPlusNormal"/>
              <w:jc w:val="both"/>
            </w:pPr>
            <w:r>
              <w:t>Разработка проектной документации объектов капитального строительства</w:t>
            </w:r>
          </w:p>
        </w:tc>
        <w:tc>
          <w:tcPr>
            <w:tcW w:w="1234" w:type="dxa"/>
          </w:tcPr>
          <w:p w:rsidR="006E5127" w:rsidRDefault="006E512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E5127" w:rsidRDefault="006E5127">
            <w:pPr>
              <w:pStyle w:val="ConsPlusNormal"/>
            </w:pPr>
          </w:p>
        </w:tc>
      </w:tr>
      <w:tr w:rsidR="006E5127">
        <w:tc>
          <w:tcPr>
            <w:tcW w:w="461" w:type="dxa"/>
            <w:tcBorders>
              <w:left w:val="nil"/>
            </w:tcBorders>
          </w:tcPr>
          <w:p w:rsidR="006E5127" w:rsidRDefault="006E512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6E5127" w:rsidRDefault="006E5127">
            <w:pPr>
              <w:pStyle w:val="ConsPlusNormal"/>
              <w:jc w:val="both"/>
            </w:pPr>
            <w:r>
              <w:t>Проведение государственной экспертизы проектной документации и результатов инженерных изысканий в отношении объектов капитального строительства</w:t>
            </w:r>
          </w:p>
        </w:tc>
        <w:tc>
          <w:tcPr>
            <w:tcW w:w="1234" w:type="dxa"/>
          </w:tcPr>
          <w:p w:rsidR="006E5127" w:rsidRDefault="006E512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E5127" w:rsidRDefault="006E5127">
            <w:pPr>
              <w:pStyle w:val="ConsPlusNormal"/>
            </w:pPr>
          </w:p>
        </w:tc>
      </w:tr>
      <w:tr w:rsidR="006E5127">
        <w:tc>
          <w:tcPr>
            <w:tcW w:w="461" w:type="dxa"/>
            <w:tcBorders>
              <w:left w:val="nil"/>
            </w:tcBorders>
          </w:tcPr>
          <w:p w:rsidR="006E5127" w:rsidRDefault="006E5127">
            <w:pPr>
              <w:pStyle w:val="ConsPlusNormal"/>
            </w:pPr>
          </w:p>
        </w:tc>
        <w:tc>
          <w:tcPr>
            <w:tcW w:w="6123" w:type="dxa"/>
          </w:tcPr>
          <w:p w:rsidR="006E5127" w:rsidRDefault="006E5127">
            <w:pPr>
              <w:pStyle w:val="ConsPlusNormal"/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234" w:type="dxa"/>
          </w:tcPr>
          <w:p w:rsidR="006E5127" w:rsidRDefault="006E5127">
            <w:pPr>
              <w:pStyle w:val="ConsPlusNormal"/>
            </w:pPr>
          </w:p>
        </w:tc>
        <w:tc>
          <w:tcPr>
            <w:tcW w:w="1247" w:type="dxa"/>
            <w:tcBorders>
              <w:right w:val="nil"/>
            </w:tcBorders>
          </w:tcPr>
          <w:p w:rsidR="006E5127" w:rsidRDefault="006E5127">
            <w:pPr>
              <w:pStyle w:val="ConsPlusNormal"/>
            </w:pPr>
          </w:p>
        </w:tc>
      </w:tr>
    </w:tbl>
    <w:p w:rsidR="006E5127" w:rsidRDefault="006E5127">
      <w:pPr>
        <w:pStyle w:val="ConsPlusNormal"/>
        <w:jc w:val="both"/>
      </w:pPr>
    </w:p>
    <w:p w:rsidR="006E5127" w:rsidRDefault="006E5127">
      <w:pPr>
        <w:pStyle w:val="ConsPlusNonformat"/>
        <w:jc w:val="both"/>
      </w:pPr>
      <w:r>
        <w:t>Глава администрации</w:t>
      </w:r>
    </w:p>
    <w:p w:rsidR="006E5127" w:rsidRDefault="006E5127">
      <w:pPr>
        <w:pStyle w:val="ConsPlusNonformat"/>
        <w:jc w:val="both"/>
      </w:pPr>
      <w:r>
        <w:t>муниципального района     _______________     _____________________________</w:t>
      </w:r>
    </w:p>
    <w:p w:rsidR="006E5127" w:rsidRDefault="006E5127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6E5127" w:rsidRDefault="006E5127">
      <w:pPr>
        <w:pStyle w:val="ConsPlusNonformat"/>
        <w:jc w:val="both"/>
      </w:pPr>
      <w:r>
        <w:t>М.П.</w:t>
      </w:r>
    </w:p>
    <w:p w:rsidR="006E5127" w:rsidRDefault="006E5127">
      <w:pPr>
        <w:pStyle w:val="ConsPlusNormal"/>
      </w:pPr>
      <w:hyperlink r:id="rId20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Постановление Кабинета Министров ЧР от 27.12.2019 N 607 (ред. от 25.11.2020) "О мерах по реализации государственной программы Чувашской Республики "Комплексное развитие сельских территорий Чувашской Республики" (вместе с "Положением о конкурсной комиссии по отбору проектов в сфере комплексного развития сельских территорий", "Порядком проведения конкурсного отбора проектов по обустройству объектами инженерной инфраструктуры и благоустройству площадок, расположенных на сельских территориях, под компактную жилищную</w:t>
        </w:r>
        <w:proofErr w:type="gramEnd"/>
        <w:r>
          <w:rPr>
            <w:i/>
            <w:color w:val="0000FF"/>
          </w:rPr>
          <w:t xml:space="preserve"> застройку", "Порядком проведения конкурсного отбора общественно значимых проектов по благоустройству сельских территорий", "Порядком проведения конкурсного отбора проектов, направленных на 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изысканий", "Порядком проведения конкурсного отбора проектов комплексного развития сельских территорий (сельских агломераций)") {КонсультантПлюс}</w:t>
        </w:r>
      </w:hyperlink>
      <w:r>
        <w:br/>
      </w:r>
    </w:p>
    <w:p w:rsidR="002D74A8" w:rsidRDefault="002D74A8">
      <w:bookmarkStart w:id="4" w:name="_GoBack"/>
      <w:bookmarkEnd w:id="4"/>
    </w:p>
    <w:sectPr w:rsidR="002D74A8" w:rsidSect="0058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27"/>
    <w:rsid w:val="002D74A8"/>
    <w:rsid w:val="005D6E86"/>
    <w:rsid w:val="006E5127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5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ECC0C426EEE23C764702D47E0D8D543BE031235506CA4E6E5950A8740E2ECAFC2E4109DA129E140ECE36256901C9305A8FFABD87373A7v2e9K" TargetMode="External"/><Relationship Id="rId13" Type="http://schemas.openxmlformats.org/officeDocument/2006/relationships/hyperlink" Target="consultantplus://offline/ref=731ECC0C426EEE23C7646E20518C86D148B25E1B325060F2BCB0935DD810E4B9EF82E245DEE524E144E7B73211CE45C249E3F2A9CE6F73A73641F820v8e6K" TargetMode="External"/><Relationship Id="rId18" Type="http://schemas.openxmlformats.org/officeDocument/2006/relationships/hyperlink" Target="consultantplus://offline/ref=731ECC0C426EEE23C7646E20518C86D148B25E1B325060F2BCB0935DD810E4B9EF82E245DEE524E144E7B73215CE45C249E3F2A9CE6F73A73641F820v8e6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31ECC0C426EEE23C7646E20518C86D148B25E1B325060F2BCB0935DD810E4B9EF82E245DEE524E144E7B73213CE45C249E3F2A9CE6F73A73641F820v8e6K" TargetMode="External"/><Relationship Id="rId12" Type="http://schemas.openxmlformats.org/officeDocument/2006/relationships/hyperlink" Target="consultantplus://offline/ref=731ECC0C426EEE23C7646E20518C86D148B25E1B325165F4BAB4935DD810E4B9EF82E245DEE524E144E7B73117CE45C249E3F2A9CE6F73A73641F820v8e6K" TargetMode="External"/><Relationship Id="rId17" Type="http://schemas.openxmlformats.org/officeDocument/2006/relationships/hyperlink" Target="consultantplus://offline/ref=731ECC0C426EEE23C7646E20518C86D148B25E1B325060F2BCB0935DD810E4B9EF82E245DEE524E144E7B73214CE45C249E3F2A9CE6F73A73641F820v8e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1ECC0C426EEE23C7646E20518C86D148B25E1B325165F4B8B8935DD810E4B9EF82E245DEE524E144E7B73615CE45C249E3F2A9CE6F73A73641F820v8e6K" TargetMode="External"/><Relationship Id="rId20" Type="http://schemas.openxmlformats.org/officeDocument/2006/relationships/hyperlink" Target="consultantplus://offline/ref=731ECC0C426EEE23C7646E20518C86D148B25E1B325165F4B8B8935DD810E4B9EF82E245DEE524E144E7B53714CE45C249E3F2A9CE6F73A73641F820v8e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ECC0C426EEE23C7646E20518C86D148B25E1B325165F4BAB4935DD810E4B9EF82E245DEE524E144E7B73314CE45C249E3F2A9CE6F73A73641F820v8e6K" TargetMode="External"/><Relationship Id="rId11" Type="http://schemas.openxmlformats.org/officeDocument/2006/relationships/hyperlink" Target="consultantplus://offline/ref=731ECC0C426EEE23C7646E20518C86D148B25E1B325165F4BAB4935DD810E4B9EF82E245DEE524E144E7B7331ACE45C249E3F2A9CE6F73A73641F820v8e6K" TargetMode="External"/><Relationship Id="rId5" Type="http://schemas.openxmlformats.org/officeDocument/2006/relationships/hyperlink" Target="consultantplus://offline/ref=731ECC0C426EEE23C7646E20518C86D148B25E1B325060F2BCB0935DD810E4B9EF82E245DEE524E144E7B7331ACE45C249E3F2A9CE6F73A73641F820v8e6K" TargetMode="External"/><Relationship Id="rId15" Type="http://schemas.openxmlformats.org/officeDocument/2006/relationships/hyperlink" Target="consultantplus://offline/ref=731ECC0C426EEE23C7646E20518C86D148B25E1B325165F4B8B8935DD810E4B9EF82E245DEE524E144E7B23011CE45C249E3F2A9CE6F73A73641F820v8e6K" TargetMode="External"/><Relationship Id="rId10" Type="http://schemas.openxmlformats.org/officeDocument/2006/relationships/hyperlink" Target="consultantplus://offline/ref=731ECC0C426EEE23C7646E20518C86D148B25E1B325165F4BAB4935DD810E4B9EF82E245DEE524E144E7B73315CE45C249E3F2A9CE6F73A73641F820v8e6K" TargetMode="External"/><Relationship Id="rId19" Type="http://schemas.openxmlformats.org/officeDocument/2006/relationships/hyperlink" Target="consultantplus://offline/ref=731ECC0C426EEE23C7646E20518C86D148B25E1B325060F2BCB0935DD810E4B9EF82E245DEE524E144E7B7321ACE45C249E3F2A9CE6F73A73641F820v8e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1ECC0C426EEE23C7646E20518C86D148B25E1B325060F2BCB0935DD810E4B9EF82E245DEE524E144E7B73210CE45C249E3F2A9CE6F73A73641F820v8e6K" TargetMode="External"/><Relationship Id="rId14" Type="http://schemas.openxmlformats.org/officeDocument/2006/relationships/hyperlink" Target="consultantplus://offline/ref=731ECC0C426EEE23C7646E20518C86D148B25E1B325165F4B8B8935DD810E4B9EF82E245DEE524E144E7B43510CE45C249E3F2A9CE6F73A73641F820v8e6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67.</dc:creator>
  <cp:lastModifiedBy>Минсельхоз 67.</cp:lastModifiedBy>
  <cp:revision>1</cp:revision>
  <dcterms:created xsi:type="dcterms:W3CDTF">2021-02-08T10:30:00Z</dcterms:created>
  <dcterms:modified xsi:type="dcterms:W3CDTF">2021-02-08T10:31:00Z</dcterms:modified>
</cp:coreProperties>
</file>