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FB2479" w:rsidRDefault="008E7DBC" w:rsidP="00FB2479">
      <w:pPr>
        <w:pStyle w:val="a4"/>
        <w:ind w:right="-1" w:firstLine="708"/>
      </w:pPr>
      <w:r w:rsidRPr="008E7DBC">
        <w:rPr>
          <w:szCs w:val="24"/>
        </w:rPr>
        <w:t xml:space="preserve">                </w:t>
      </w:r>
      <w:proofErr w:type="gramStart"/>
      <w:r w:rsidR="00052CB8" w:rsidRPr="008E7DBC">
        <w:rPr>
          <w:szCs w:val="24"/>
        </w:rPr>
        <w:t xml:space="preserve">- </w:t>
      </w:r>
      <w:r w:rsidR="00FB2479">
        <w:t xml:space="preserve">Автобус для перевозки детей,  марка, (модель) ГАЗ-322121, идентификационный номер </w:t>
      </w:r>
      <w:r w:rsidR="00FB2479">
        <w:rPr>
          <w:lang w:val="en-US"/>
        </w:rPr>
        <w:t>VIN</w:t>
      </w:r>
      <w:r w:rsidR="00FB2479" w:rsidRPr="00FF0FC8">
        <w:t xml:space="preserve"> </w:t>
      </w:r>
      <w:r w:rsidR="00FB2479">
        <w:rPr>
          <w:lang w:val="en-US"/>
        </w:rPr>
        <w:t>X</w:t>
      </w:r>
      <w:r w:rsidR="00FB2479">
        <w:t xml:space="preserve">96322121С0713716, категории ТС – </w:t>
      </w:r>
      <w:r w:rsidR="00FB2479">
        <w:rPr>
          <w:lang w:val="en-US"/>
        </w:rPr>
        <w:t>D</w:t>
      </w:r>
      <w:r w:rsidR="00FB2479">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FB2479">
        <w:t>, паспорт транспортного средства № 52 НК 573645, выдан ООО «Павловский автобусный завод» 24 ноября 2011 года.</w:t>
      </w:r>
    </w:p>
    <w:p w:rsidR="00CB0217" w:rsidRPr="008E7DBC" w:rsidRDefault="00052CB8" w:rsidP="00052CB8">
      <w:pPr>
        <w:tabs>
          <w:tab w:val="left" w:pos="9355"/>
        </w:tabs>
        <w:ind w:right="-5"/>
        <w:jc w:val="both"/>
        <w:rPr>
          <w:rFonts w:eastAsia="SimSun"/>
          <w:i/>
          <w:iCs/>
          <w:kern w:val="1"/>
          <w:sz w:val="24"/>
          <w:szCs w:val="24"/>
          <w:lang w:eastAsia="ar-SA"/>
        </w:rPr>
      </w:pPr>
      <w:r w:rsidRPr="008E7DBC">
        <w:rPr>
          <w:sz w:val="24"/>
          <w:szCs w:val="24"/>
        </w:rPr>
        <w:t xml:space="preserve">.                                   </w:t>
      </w:r>
      <w:r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F607CD" w:rsidRPr="00F607CD">
        <w:rPr>
          <w:szCs w:val="24"/>
        </w:rPr>
        <w:t>19</w:t>
      </w:r>
      <w:r w:rsidR="004559DC" w:rsidRPr="00F607CD">
        <w:rPr>
          <w:szCs w:val="24"/>
        </w:rPr>
        <w:t xml:space="preserve"> февраля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F607CD" w:rsidRPr="00F607CD">
        <w:rPr>
          <w:color w:val="000000" w:themeColor="text1"/>
          <w:szCs w:val="24"/>
        </w:rPr>
        <w:t>1</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F607CD" w:rsidRPr="00F607CD">
        <w:rPr>
          <w:color w:val="000000" w:themeColor="text1"/>
          <w:szCs w:val="24"/>
        </w:rPr>
        <w:t>59</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A61A38">
        <w:rPr>
          <w:rFonts w:ascii="Times New Roman" w:hAnsi="Times New Roman"/>
          <w:b/>
          <w:sz w:val="24"/>
          <w:szCs w:val="24"/>
        </w:rPr>
        <w:t>01</w:t>
      </w:r>
      <w:r w:rsidR="00EA2AEE">
        <w:rPr>
          <w:rFonts w:ascii="Times New Roman" w:hAnsi="Times New Roman"/>
          <w:b/>
          <w:sz w:val="24"/>
          <w:szCs w:val="24"/>
        </w:rPr>
        <w:t xml:space="preserve"> апреля</w:t>
      </w:r>
      <w:r w:rsidR="004559DC">
        <w:rPr>
          <w:rFonts w:ascii="Times New Roman" w:hAnsi="Times New Roman"/>
          <w:b/>
          <w:sz w:val="24"/>
          <w:szCs w:val="24"/>
        </w:rPr>
        <w:t xml:space="preserve"> 2021</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EA2AEE">
        <w:rPr>
          <w:sz w:val="24"/>
          <w:szCs w:val="24"/>
        </w:rPr>
        <w:t>19</w:t>
      </w:r>
      <w:r w:rsidRPr="005C1AE4">
        <w:rPr>
          <w:color w:val="000000" w:themeColor="text1"/>
          <w:sz w:val="24"/>
          <w:szCs w:val="24"/>
        </w:rPr>
        <w:t>.</w:t>
      </w:r>
      <w:r w:rsidR="00EA2AEE">
        <w:rPr>
          <w:color w:val="000000" w:themeColor="text1"/>
          <w:sz w:val="24"/>
          <w:szCs w:val="24"/>
        </w:rPr>
        <w:t>02.2021</w:t>
      </w:r>
      <w:r w:rsidR="00156609" w:rsidRPr="005C1AE4">
        <w:rPr>
          <w:color w:val="000000" w:themeColor="text1"/>
          <w:sz w:val="24"/>
          <w:szCs w:val="24"/>
        </w:rPr>
        <w:t xml:space="preserve"> </w:t>
      </w:r>
      <w:r w:rsidRPr="005C1AE4">
        <w:rPr>
          <w:color w:val="000000" w:themeColor="text1"/>
          <w:sz w:val="24"/>
          <w:szCs w:val="24"/>
        </w:rPr>
        <w:t xml:space="preserve">№ </w:t>
      </w:r>
      <w:r w:rsidR="00EA2AEE">
        <w:rPr>
          <w:color w:val="000000" w:themeColor="text1"/>
          <w:sz w:val="24"/>
          <w:szCs w:val="24"/>
        </w:rPr>
        <w:t>59</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EA2AEE" w:rsidRDefault="00B309E1" w:rsidP="00EA2AEE">
      <w:pPr>
        <w:pStyle w:val="a4"/>
        <w:ind w:right="-1" w:firstLine="708"/>
      </w:pPr>
      <w:r w:rsidRPr="00052CB8">
        <w:rPr>
          <w:szCs w:val="24"/>
        </w:rPr>
        <w:t xml:space="preserve">           1.1. </w:t>
      </w:r>
      <w:proofErr w:type="gramStart"/>
      <w:r w:rsidR="00EA2AEE">
        <w:t xml:space="preserve">Автобус для перевозки детей,  марка, (модель) ГАЗ-322121, идентификационный номер </w:t>
      </w:r>
      <w:r w:rsidR="00EA2AEE">
        <w:rPr>
          <w:lang w:val="en-US"/>
        </w:rPr>
        <w:t>VIN</w:t>
      </w:r>
      <w:r w:rsidR="00EA2AEE" w:rsidRPr="00FF0FC8">
        <w:t xml:space="preserve"> </w:t>
      </w:r>
      <w:r w:rsidR="00EA2AEE">
        <w:rPr>
          <w:lang w:val="en-US"/>
        </w:rPr>
        <w:t>X</w:t>
      </w:r>
      <w:r w:rsidR="00EA2AEE">
        <w:t xml:space="preserve">96322121С0713716, категории ТС – </w:t>
      </w:r>
      <w:r w:rsidR="00EA2AEE">
        <w:rPr>
          <w:lang w:val="en-US"/>
        </w:rPr>
        <w:t>D</w:t>
      </w:r>
      <w:r w:rsidR="00EA2AEE">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EA2AEE">
        <w:t>, паспорт транспортного средства № 52 НК 573645, выдан ООО «Павловский автобусный завод» 24 ноября 2011 года.</w:t>
      </w:r>
      <w:r w:rsidR="00EA2AEE" w:rsidRPr="008E7DBC">
        <w:rPr>
          <w:szCs w:val="24"/>
        </w:rPr>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EA2AEE">
        <w:rPr>
          <w:color w:val="000000"/>
          <w:sz w:val="24"/>
          <w:szCs w:val="24"/>
        </w:rPr>
        <w:t>366 350</w:t>
      </w:r>
      <w:r w:rsidR="004A7ECF" w:rsidRPr="00052CB8">
        <w:rPr>
          <w:color w:val="000000"/>
          <w:sz w:val="24"/>
          <w:szCs w:val="24"/>
        </w:rPr>
        <w:t xml:space="preserve"> </w:t>
      </w:r>
      <w:r w:rsidR="00AC70EE" w:rsidRPr="00052CB8">
        <w:rPr>
          <w:color w:val="000000"/>
          <w:sz w:val="24"/>
          <w:szCs w:val="24"/>
        </w:rPr>
        <w:t>(</w:t>
      </w:r>
      <w:r w:rsidR="00EA2AEE">
        <w:rPr>
          <w:color w:val="000000"/>
          <w:sz w:val="24"/>
          <w:szCs w:val="24"/>
        </w:rPr>
        <w:t>Триста шестьдесят шесть тысяч триста пятьдесят</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EA2AEE">
        <w:rPr>
          <w:sz w:val="24"/>
          <w:szCs w:val="24"/>
        </w:rPr>
        <w:t>18 317</w:t>
      </w:r>
      <w:r w:rsidR="00C83719">
        <w:rPr>
          <w:sz w:val="24"/>
          <w:szCs w:val="24"/>
        </w:rPr>
        <w:t xml:space="preserve"> </w:t>
      </w:r>
      <w:r w:rsidR="00E130EC" w:rsidRPr="00052CB8">
        <w:rPr>
          <w:color w:val="000000"/>
          <w:sz w:val="24"/>
          <w:szCs w:val="24"/>
        </w:rPr>
        <w:t>(</w:t>
      </w:r>
      <w:r w:rsidR="00EA2AEE">
        <w:rPr>
          <w:color w:val="000000"/>
          <w:sz w:val="24"/>
          <w:szCs w:val="24"/>
        </w:rPr>
        <w:t xml:space="preserve">Восемнадцать </w:t>
      </w:r>
      <w:r w:rsidR="00A261A6">
        <w:rPr>
          <w:color w:val="000000"/>
          <w:sz w:val="24"/>
          <w:szCs w:val="24"/>
        </w:rPr>
        <w:t xml:space="preserve"> тысяч  триста</w:t>
      </w:r>
      <w:r w:rsidR="00EA2AEE">
        <w:rPr>
          <w:color w:val="000000"/>
          <w:sz w:val="24"/>
          <w:szCs w:val="24"/>
        </w:rPr>
        <w:t xml:space="preserve"> семнадцать)</w:t>
      </w:r>
      <w:r w:rsidR="005A4A12">
        <w:rPr>
          <w:color w:val="000000"/>
          <w:sz w:val="24"/>
          <w:szCs w:val="24"/>
        </w:rPr>
        <w:t xml:space="preserve"> руб. </w:t>
      </w:r>
      <w:r w:rsidR="00EA2AEE">
        <w:rPr>
          <w:color w:val="000000"/>
          <w:sz w:val="24"/>
          <w:szCs w:val="24"/>
        </w:rPr>
        <w:t>5</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EA2AEE">
        <w:rPr>
          <w:sz w:val="24"/>
          <w:szCs w:val="24"/>
        </w:rPr>
        <w:t>73 270</w:t>
      </w:r>
      <w:r w:rsidRPr="00052CB8">
        <w:rPr>
          <w:color w:val="000000"/>
          <w:sz w:val="24"/>
          <w:szCs w:val="24"/>
        </w:rPr>
        <w:t xml:space="preserve"> (</w:t>
      </w:r>
      <w:r w:rsidR="00EA2AEE">
        <w:rPr>
          <w:color w:val="000000"/>
          <w:sz w:val="24"/>
          <w:szCs w:val="24"/>
        </w:rPr>
        <w:t>Семьдесят три тысячи двести семьдесят</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4559DC">
        <w:rPr>
          <w:sz w:val="24"/>
          <w:szCs w:val="24"/>
        </w:rPr>
        <w:t>2</w:t>
      </w:r>
      <w:r w:rsidR="00EA2AEE">
        <w:rPr>
          <w:sz w:val="24"/>
          <w:szCs w:val="24"/>
        </w:rPr>
        <w:t>5</w:t>
      </w:r>
      <w:r w:rsidR="005947AE" w:rsidRPr="00052CB8">
        <w:rPr>
          <w:sz w:val="24"/>
          <w:szCs w:val="24"/>
        </w:rPr>
        <w:t xml:space="preserve"> </w:t>
      </w:r>
      <w:r w:rsidR="004559DC">
        <w:rPr>
          <w:sz w:val="24"/>
          <w:szCs w:val="24"/>
        </w:rPr>
        <w:t>февраля</w:t>
      </w:r>
      <w:r w:rsidRPr="00052CB8">
        <w:rPr>
          <w:sz w:val="24"/>
          <w:szCs w:val="24"/>
        </w:rPr>
        <w:t xml:space="preserve"> 20</w:t>
      </w:r>
      <w:r w:rsidR="004559DC">
        <w:rPr>
          <w:sz w:val="24"/>
          <w:szCs w:val="24"/>
        </w:rPr>
        <w:t>21</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EA2AEE">
        <w:rPr>
          <w:sz w:val="24"/>
          <w:szCs w:val="24"/>
        </w:rPr>
        <w:t>29</w:t>
      </w:r>
      <w:r w:rsidR="004559DC">
        <w:rPr>
          <w:sz w:val="24"/>
          <w:szCs w:val="24"/>
        </w:rPr>
        <w:t xml:space="preserve"> марта</w:t>
      </w:r>
      <w:r w:rsidR="00CE48B9">
        <w:rPr>
          <w:sz w:val="24"/>
          <w:szCs w:val="24"/>
        </w:rPr>
        <w:t xml:space="preserve"> </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EA2AEE">
        <w:rPr>
          <w:sz w:val="24"/>
          <w:szCs w:val="24"/>
        </w:rPr>
        <w:t>31</w:t>
      </w:r>
      <w:r w:rsidR="004559DC">
        <w:rPr>
          <w:sz w:val="24"/>
          <w:szCs w:val="24"/>
        </w:rPr>
        <w:t xml:space="preserve"> марта</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EA2AEE">
        <w:rPr>
          <w:sz w:val="24"/>
          <w:szCs w:val="24"/>
        </w:rPr>
        <w:t xml:space="preserve">01 апреля </w:t>
      </w:r>
      <w:r w:rsidR="004559DC">
        <w:rPr>
          <w:sz w:val="24"/>
          <w:szCs w:val="24"/>
        </w:rPr>
        <w:t>2021</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w:t>
      </w:r>
      <w:r w:rsidRPr="00052CB8">
        <w:rPr>
          <w:bCs/>
          <w:sz w:val="24"/>
          <w:szCs w:val="24"/>
        </w:rPr>
        <w:lastRenderedPageBreak/>
        <w:t>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w:t>
      </w:r>
      <w:r w:rsidRPr="00052CB8">
        <w:rPr>
          <w:sz w:val="24"/>
          <w:szCs w:val="24"/>
        </w:rPr>
        <w:lastRenderedPageBreak/>
        <w:t xml:space="preserve">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должна содержать также документ, </w:t>
      </w:r>
      <w:r w:rsidRPr="00052CB8">
        <w:rPr>
          <w:rFonts w:ascii="Times New Roman" w:eastAsia="Times New Roman" w:hAnsi="Times New Roman" w:cs="Times New Roman"/>
          <w:sz w:val="24"/>
          <w:szCs w:val="24"/>
        </w:rPr>
        <w:lastRenderedPageBreak/>
        <w:t>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EA2AEE">
        <w:rPr>
          <w:rFonts w:eastAsia="Calibri"/>
          <w:sz w:val="24"/>
          <w:szCs w:val="24"/>
        </w:rPr>
        <w:t xml:space="preserve">73 270 </w:t>
      </w:r>
      <w:r w:rsidR="00E5699C">
        <w:rPr>
          <w:rFonts w:eastAsia="Calibri"/>
          <w:sz w:val="24"/>
          <w:szCs w:val="24"/>
        </w:rPr>
        <w:t>(</w:t>
      </w:r>
      <w:r w:rsidR="00EA2AEE">
        <w:rPr>
          <w:rFonts w:eastAsia="Calibri"/>
          <w:sz w:val="24"/>
          <w:szCs w:val="24"/>
        </w:rPr>
        <w:t>Семьдесят три тысячи двести семьдесят рублей</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42" w:rsidRDefault="00672842">
      <w:r>
        <w:separator/>
      </w:r>
    </w:p>
  </w:endnote>
  <w:endnote w:type="continuationSeparator" w:id="0">
    <w:p w:rsidR="00672842" w:rsidRDefault="00672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42" w:rsidRDefault="00672842">
      <w:r>
        <w:separator/>
      </w:r>
    </w:p>
  </w:footnote>
  <w:footnote w:type="continuationSeparator" w:id="0">
    <w:p w:rsidR="00672842" w:rsidRDefault="0067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0F567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0F567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61A38">
      <w:rPr>
        <w:rStyle w:val="a8"/>
        <w:rFonts w:ascii="Times New Roman CYR" w:hAnsi="Times New Roman CYR"/>
        <w:noProof/>
        <w:sz w:val="24"/>
      </w:rPr>
      <w:t>4</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55911"/>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1A91-A1FE-4766-89DC-6A6A0D87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7593</Words>
  <Characters>43285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5</cp:revision>
  <cp:lastPrinted>2019-10-10T11:44:00Z</cp:lastPrinted>
  <dcterms:created xsi:type="dcterms:W3CDTF">2021-02-20T05:50:00Z</dcterms:created>
  <dcterms:modified xsi:type="dcterms:W3CDTF">2021-02-24T08:41:00Z</dcterms:modified>
</cp:coreProperties>
</file>