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74" w:rsidRPr="009366CC" w:rsidRDefault="00E1278B" w:rsidP="00714774">
      <w:pPr>
        <w:rPr>
          <w:b/>
        </w:rPr>
      </w:pPr>
      <w:r w:rsidRPr="009366CC">
        <w:rPr>
          <w:b/>
        </w:rPr>
        <w:t>Справка о жилищном строительстве за 2018 год</w:t>
      </w:r>
    </w:p>
    <w:p w:rsidR="00714774" w:rsidRPr="00714774" w:rsidRDefault="00714774" w:rsidP="00714774">
      <w:r w:rsidRPr="00714774">
        <w:t>В 2018 году на площадках микрорайона завершено строительство одного многоквартирного дома. За счет всех источников финансирования введено 11609 кв.м. жилья, что составляет лишь  72,5% от годового плана (16 тыс. кв</w:t>
      </w:r>
      <w:proofErr w:type="gramStart"/>
      <w:r w:rsidRPr="00714774">
        <w:t>.м</w:t>
      </w:r>
      <w:proofErr w:type="gramEnd"/>
      <w:r w:rsidRPr="00714774">
        <w:t>), и 73,8 к уровню 2017 года. В том числе введено – 4413 кв.м. многоквартирного жилья, ИЖС – 7196 кв.м.</w:t>
      </w:r>
    </w:p>
    <w:p w:rsidR="00714774" w:rsidRPr="00714774" w:rsidRDefault="00714774" w:rsidP="00714774">
      <w:r w:rsidRPr="00714774">
        <w:t> </w:t>
      </w:r>
    </w:p>
    <w:tbl>
      <w:tblPr>
        <w:tblW w:w="0" w:type="auto"/>
        <w:tblCellMar>
          <w:top w:w="15" w:type="dxa"/>
          <w:left w:w="15" w:type="dxa"/>
          <w:bottom w:w="15" w:type="dxa"/>
          <w:right w:w="15" w:type="dxa"/>
        </w:tblCellMar>
        <w:tblLook w:val="04A0"/>
      </w:tblPr>
      <w:tblGrid>
        <w:gridCol w:w="877"/>
        <w:gridCol w:w="1038"/>
        <w:gridCol w:w="1038"/>
        <w:gridCol w:w="1800"/>
      </w:tblGrid>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Год</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План</w:t>
            </w:r>
          </w:p>
          <w:p w:rsidR="00714774" w:rsidRPr="00714774" w:rsidRDefault="00714774" w:rsidP="00714774">
            <w:r w:rsidRPr="00714774">
              <w:t>(кв.м.)</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Факт</w:t>
            </w:r>
          </w:p>
          <w:p w:rsidR="00714774" w:rsidRPr="00714774" w:rsidRDefault="00714774" w:rsidP="00714774">
            <w:r w:rsidRPr="00714774">
              <w:t>(кв.м.)</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 выполнения</w:t>
            </w:r>
          </w:p>
        </w:tc>
      </w:tr>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2017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16 000</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15 736</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98</w:t>
            </w:r>
          </w:p>
        </w:tc>
      </w:tr>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2018</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16 000</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11 609</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72,5</w:t>
            </w:r>
          </w:p>
        </w:tc>
      </w:tr>
    </w:tbl>
    <w:p w:rsidR="00714774" w:rsidRPr="00714774" w:rsidRDefault="00714774" w:rsidP="00714774">
      <w:r w:rsidRPr="00714774">
        <w:t> </w:t>
      </w:r>
    </w:p>
    <w:p w:rsidR="00714774" w:rsidRPr="00714774" w:rsidRDefault="00714774" w:rsidP="00714774">
      <w:r w:rsidRPr="00714774">
        <w:t xml:space="preserve">31 августа 2018 года торжественно была открыта новая общеобразовательной школы на 1000 ученических мест в микрорайоне </w:t>
      </w:r>
      <w:proofErr w:type="gramStart"/>
      <w:r w:rsidRPr="00714774">
        <w:t>Южный</w:t>
      </w:r>
      <w:proofErr w:type="gramEnd"/>
      <w:r w:rsidRPr="00714774">
        <w:t xml:space="preserve"> г. Цивильска, стоимость строительства составила 529 млн. рублей. Строительно-монтажные работы выполнил генподрядчик АО «ПМК-8».</w:t>
      </w:r>
    </w:p>
    <w:p w:rsidR="00714774" w:rsidRPr="00714774" w:rsidRDefault="00714774" w:rsidP="00714774">
      <w:r w:rsidRPr="00714774">
        <w:t>Для устройства инженерной инфраструктуры к участкам земель для многодетных семей в г. Цивильске на территории ОПХ «Хмелеводческое» завершено строительство сетей электроснабжения 164 участков, освоено 8,0 млн</w:t>
      </w:r>
      <w:proofErr w:type="gramStart"/>
      <w:r w:rsidRPr="00714774">
        <w:t>.р</w:t>
      </w:r>
      <w:proofErr w:type="gramEnd"/>
      <w:r w:rsidRPr="00714774">
        <w:t>ублей. Разработана проектно-сметная документация для строительства сетей газоснабжения 164 участков. Сметная стоимость составила 4,1млн. рублей.</w:t>
      </w:r>
    </w:p>
    <w:p w:rsidR="00714774" w:rsidRPr="00714774" w:rsidRDefault="00714774" w:rsidP="00714774">
      <w:r w:rsidRPr="00714774">
        <w:t>Свидетельства о праве на получение социальной выплаты на приобретение жилого помещения или строительство индивидуального жилого дома в 2018 году выданы 17 молодым семьям на сумму 13,167 млн. рублей, из них за счет федерального бюджета 6,221 млн. рублей; за счет республиканского – 4,868 млн. рублей; за счет местного – 2,078 млн. рублей.</w:t>
      </w:r>
    </w:p>
    <w:p w:rsidR="00714774" w:rsidRPr="00714774" w:rsidRDefault="00714774" w:rsidP="00714774">
      <w:r w:rsidRPr="00714774">
        <w:t> </w:t>
      </w:r>
    </w:p>
    <w:tbl>
      <w:tblPr>
        <w:tblW w:w="0" w:type="auto"/>
        <w:tblCellMar>
          <w:top w:w="15" w:type="dxa"/>
          <w:left w:w="15" w:type="dxa"/>
          <w:bottom w:w="15" w:type="dxa"/>
          <w:right w:w="15" w:type="dxa"/>
        </w:tblCellMar>
        <w:tblLook w:val="04A0"/>
      </w:tblPr>
      <w:tblGrid>
        <w:gridCol w:w="657"/>
        <w:gridCol w:w="759"/>
        <w:gridCol w:w="760"/>
        <w:gridCol w:w="692"/>
        <w:gridCol w:w="810"/>
        <w:gridCol w:w="4334"/>
        <w:gridCol w:w="848"/>
        <w:gridCol w:w="925"/>
      </w:tblGrid>
      <w:tr w:rsidR="00714774" w:rsidRPr="00714774" w:rsidTr="00714774">
        <w:trPr>
          <w:cantSplit/>
        </w:trPr>
        <w:tc>
          <w:tcPr>
            <w:tcW w:w="0" w:type="auto"/>
            <w:vMerge w:val="restart"/>
            <w:shd w:val="clear" w:color="auto" w:fill="auto"/>
            <w:tcMar>
              <w:top w:w="215" w:type="dxa"/>
              <w:left w:w="215" w:type="dxa"/>
              <w:bottom w:w="215" w:type="dxa"/>
              <w:right w:w="215" w:type="dxa"/>
            </w:tcMar>
            <w:vAlign w:val="center"/>
            <w:hideMark/>
          </w:tcPr>
          <w:p w:rsidR="00714774" w:rsidRPr="00714774" w:rsidRDefault="00714774" w:rsidP="00714774">
            <w:r w:rsidRPr="00714774">
              <w:t>Год</w:t>
            </w:r>
          </w:p>
        </w:tc>
        <w:tc>
          <w:tcPr>
            <w:tcW w:w="0" w:type="auto"/>
            <w:vMerge w:val="restart"/>
            <w:shd w:val="clear" w:color="auto" w:fill="auto"/>
            <w:tcMar>
              <w:top w:w="215" w:type="dxa"/>
              <w:left w:w="215" w:type="dxa"/>
              <w:bottom w:w="215" w:type="dxa"/>
              <w:right w:w="215" w:type="dxa"/>
            </w:tcMar>
            <w:vAlign w:val="center"/>
            <w:hideMark/>
          </w:tcPr>
          <w:p w:rsidR="00714774" w:rsidRPr="00714774" w:rsidRDefault="00714774" w:rsidP="00714774">
            <w:r w:rsidRPr="00714774">
              <w:t>План</w:t>
            </w:r>
          </w:p>
          <w:p w:rsidR="00714774" w:rsidRPr="00714774" w:rsidRDefault="00714774" w:rsidP="00714774">
            <w:r w:rsidRPr="00714774">
              <w:lastRenderedPageBreak/>
              <w:t>(кол-во семей)</w:t>
            </w:r>
          </w:p>
          <w:p w:rsidR="00714774" w:rsidRPr="00714774" w:rsidRDefault="00714774" w:rsidP="00714774">
            <w:r w:rsidRPr="00714774">
              <w:t> </w:t>
            </w:r>
          </w:p>
        </w:tc>
        <w:tc>
          <w:tcPr>
            <w:tcW w:w="0" w:type="auto"/>
            <w:vMerge w:val="restart"/>
            <w:shd w:val="clear" w:color="auto" w:fill="auto"/>
            <w:tcMar>
              <w:top w:w="215" w:type="dxa"/>
              <w:left w:w="215" w:type="dxa"/>
              <w:bottom w:w="215" w:type="dxa"/>
              <w:right w:w="215" w:type="dxa"/>
            </w:tcMar>
            <w:vAlign w:val="center"/>
            <w:hideMark/>
          </w:tcPr>
          <w:p w:rsidR="00714774" w:rsidRPr="00714774" w:rsidRDefault="00714774" w:rsidP="00714774">
            <w:r w:rsidRPr="00714774">
              <w:lastRenderedPageBreak/>
              <w:t>Факт</w:t>
            </w:r>
          </w:p>
          <w:p w:rsidR="00714774" w:rsidRPr="00714774" w:rsidRDefault="00714774" w:rsidP="00714774">
            <w:r w:rsidRPr="00714774">
              <w:lastRenderedPageBreak/>
              <w:t>(кол-во семей)</w:t>
            </w:r>
          </w:p>
        </w:tc>
        <w:tc>
          <w:tcPr>
            <w:tcW w:w="0" w:type="auto"/>
            <w:gridSpan w:val="4"/>
            <w:shd w:val="clear" w:color="auto" w:fill="auto"/>
            <w:tcMar>
              <w:top w:w="215" w:type="dxa"/>
              <w:left w:w="215" w:type="dxa"/>
              <w:bottom w:w="215" w:type="dxa"/>
              <w:right w:w="215" w:type="dxa"/>
            </w:tcMar>
            <w:vAlign w:val="center"/>
            <w:hideMark/>
          </w:tcPr>
          <w:p w:rsidR="00714774" w:rsidRPr="00714774" w:rsidRDefault="00714774" w:rsidP="00714774">
            <w:r w:rsidRPr="00714774">
              <w:lastRenderedPageBreak/>
              <w:t>Объем финансирования, млн</w:t>
            </w:r>
            <w:proofErr w:type="gramStart"/>
            <w:r w:rsidRPr="00714774">
              <w:t>.р</w:t>
            </w:r>
            <w:proofErr w:type="gramEnd"/>
            <w:r w:rsidRPr="00714774">
              <w:t>уб.</w:t>
            </w:r>
          </w:p>
          <w:p w:rsidR="00714774" w:rsidRPr="00714774" w:rsidRDefault="00714774" w:rsidP="00714774">
            <w:r w:rsidRPr="00714774">
              <w:t> </w:t>
            </w:r>
          </w:p>
        </w:tc>
        <w:tc>
          <w:tcPr>
            <w:tcW w:w="0" w:type="auto"/>
            <w:vMerge w:val="restart"/>
            <w:shd w:val="clear" w:color="auto" w:fill="auto"/>
            <w:tcMar>
              <w:top w:w="215" w:type="dxa"/>
              <w:left w:w="215" w:type="dxa"/>
              <w:bottom w:w="215" w:type="dxa"/>
              <w:right w:w="215" w:type="dxa"/>
            </w:tcMar>
            <w:vAlign w:val="center"/>
            <w:hideMark/>
          </w:tcPr>
          <w:p w:rsidR="00714774" w:rsidRPr="00714774" w:rsidRDefault="00714774" w:rsidP="00714774">
            <w:r w:rsidRPr="00714774">
              <w:t xml:space="preserve">% освоения </w:t>
            </w:r>
            <w:r w:rsidRPr="00714774">
              <w:lastRenderedPageBreak/>
              <w:t>денежных средств</w:t>
            </w:r>
          </w:p>
        </w:tc>
      </w:tr>
      <w:tr w:rsidR="00714774" w:rsidRPr="00714774" w:rsidTr="00714774">
        <w:trPr>
          <w:cantSplit/>
        </w:trPr>
        <w:tc>
          <w:tcPr>
            <w:tcW w:w="0" w:type="auto"/>
            <w:vMerge/>
            <w:shd w:val="clear" w:color="auto" w:fill="auto"/>
            <w:vAlign w:val="center"/>
            <w:hideMark/>
          </w:tcPr>
          <w:p w:rsidR="00714774" w:rsidRPr="00714774" w:rsidRDefault="00714774" w:rsidP="00714774"/>
        </w:tc>
        <w:tc>
          <w:tcPr>
            <w:tcW w:w="0" w:type="auto"/>
            <w:vMerge/>
            <w:shd w:val="clear" w:color="auto" w:fill="auto"/>
            <w:vAlign w:val="center"/>
            <w:hideMark/>
          </w:tcPr>
          <w:p w:rsidR="00714774" w:rsidRPr="00714774" w:rsidRDefault="00714774" w:rsidP="00714774"/>
        </w:tc>
        <w:tc>
          <w:tcPr>
            <w:tcW w:w="0" w:type="auto"/>
            <w:vMerge/>
            <w:shd w:val="clear" w:color="auto" w:fill="auto"/>
            <w:vAlign w:val="center"/>
            <w:hideMark/>
          </w:tcPr>
          <w:p w:rsidR="00714774" w:rsidRPr="00714774" w:rsidRDefault="00714774" w:rsidP="00714774"/>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Всего</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proofErr w:type="spellStart"/>
            <w:r w:rsidRPr="00714774">
              <w:t>федер</w:t>
            </w:r>
            <w:proofErr w:type="spellEnd"/>
            <w:r w:rsidRPr="00714774">
              <w:t>. бюджет</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proofErr w:type="spellStart"/>
            <w:r w:rsidRPr="00714774">
              <w:t>респ</w:t>
            </w:r>
            <w:proofErr w:type="spellEnd"/>
            <w:r w:rsidRPr="00714774">
              <w:t>. бюджет</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местный бюджет</w:t>
            </w:r>
          </w:p>
        </w:tc>
        <w:tc>
          <w:tcPr>
            <w:tcW w:w="0" w:type="auto"/>
            <w:vMerge/>
            <w:shd w:val="clear" w:color="auto" w:fill="auto"/>
            <w:vAlign w:val="center"/>
            <w:hideMark/>
          </w:tcPr>
          <w:p w:rsidR="00714774" w:rsidRPr="00714774" w:rsidRDefault="00714774" w:rsidP="00714774"/>
        </w:tc>
      </w:tr>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lastRenderedPageBreak/>
              <w:t>2017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14</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14</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11, 434</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5,033</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4,539                                                                                                                                                </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1,862</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100</w:t>
            </w:r>
          </w:p>
        </w:tc>
      </w:tr>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2018</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13, 167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6,221</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4,868</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2,078</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100</w:t>
            </w:r>
          </w:p>
        </w:tc>
      </w:tr>
    </w:tbl>
    <w:p w:rsidR="00714774" w:rsidRPr="00714774" w:rsidRDefault="00714774" w:rsidP="00714774">
      <w:r w:rsidRPr="00714774">
        <w:t> </w:t>
      </w:r>
    </w:p>
    <w:p w:rsidR="00714774" w:rsidRPr="00714774" w:rsidRDefault="00714774" w:rsidP="00714774">
      <w:r w:rsidRPr="00714774">
        <w:t>В 2018 году 8 детей-сирот были обеспечены жилыми помещениями, всего приобретено 14 квартир для предоставления детям-сиротам (на сумму 12,671 млн</w:t>
      </w:r>
      <w:proofErr w:type="gramStart"/>
      <w:r w:rsidRPr="00714774">
        <w:t>.р</w:t>
      </w:r>
      <w:proofErr w:type="gramEnd"/>
      <w:r w:rsidRPr="00714774">
        <w:t>уб.), из них: 3 квартиры – предоставлены, а 11 квартир планируется предоставить в 1 квартале 2019 года.</w:t>
      </w:r>
    </w:p>
    <w:p w:rsidR="00714774" w:rsidRPr="00714774" w:rsidRDefault="00714774" w:rsidP="00714774">
      <w:r w:rsidRPr="00714774">
        <w:t>На 31.12.2018 в очереди на получение жилья состоят еще 68 сирот. </w:t>
      </w:r>
    </w:p>
    <w:p w:rsidR="00714774" w:rsidRPr="00714774" w:rsidRDefault="00714774" w:rsidP="00714774">
      <w:r w:rsidRPr="00714774">
        <w:t> </w:t>
      </w:r>
    </w:p>
    <w:tbl>
      <w:tblPr>
        <w:tblW w:w="0" w:type="auto"/>
        <w:tblCellMar>
          <w:top w:w="15" w:type="dxa"/>
          <w:left w:w="15" w:type="dxa"/>
          <w:bottom w:w="15" w:type="dxa"/>
          <w:right w:w="15" w:type="dxa"/>
        </w:tblCellMar>
        <w:tblLook w:val="04A0"/>
      </w:tblPr>
      <w:tblGrid>
        <w:gridCol w:w="877"/>
        <w:gridCol w:w="2052"/>
        <w:gridCol w:w="2052"/>
        <w:gridCol w:w="2397"/>
        <w:gridCol w:w="2407"/>
      </w:tblGrid>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Год</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План</w:t>
            </w:r>
          </w:p>
          <w:p w:rsidR="00714774" w:rsidRPr="00714774" w:rsidRDefault="00714774" w:rsidP="00714774">
            <w:r w:rsidRPr="00714774">
              <w:t xml:space="preserve">(кол-во сирот, </w:t>
            </w:r>
            <w:proofErr w:type="spellStart"/>
            <w:r w:rsidRPr="00714774">
              <w:t>обесп</w:t>
            </w:r>
            <w:proofErr w:type="spellEnd"/>
            <w:r w:rsidRPr="00714774">
              <w:t xml:space="preserve">. </w:t>
            </w:r>
            <w:proofErr w:type="spellStart"/>
            <w:r w:rsidRPr="00714774">
              <w:t>жил</w:t>
            </w:r>
            <w:proofErr w:type="gramStart"/>
            <w:r w:rsidRPr="00714774">
              <w:t>.п</w:t>
            </w:r>
            <w:proofErr w:type="gramEnd"/>
            <w:r w:rsidRPr="00714774">
              <w:t>омещ</w:t>
            </w:r>
            <w:proofErr w:type="spellEnd"/>
            <w:r w:rsidRPr="00714774">
              <w:t>)</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Факт</w:t>
            </w:r>
          </w:p>
          <w:p w:rsidR="00714774" w:rsidRPr="00714774" w:rsidRDefault="00714774" w:rsidP="00714774">
            <w:r w:rsidRPr="00714774">
              <w:t xml:space="preserve">(кол-во сирот, </w:t>
            </w:r>
            <w:proofErr w:type="spellStart"/>
            <w:r w:rsidRPr="00714774">
              <w:t>обесп</w:t>
            </w:r>
            <w:proofErr w:type="spellEnd"/>
            <w:r w:rsidRPr="00714774">
              <w:t xml:space="preserve">. </w:t>
            </w:r>
            <w:proofErr w:type="spellStart"/>
            <w:r w:rsidRPr="00714774">
              <w:t>жил</w:t>
            </w:r>
            <w:proofErr w:type="gramStart"/>
            <w:r w:rsidRPr="00714774">
              <w:t>.п</w:t>
            </w:r>
            <w:proofErr w:type="gramEnd"/>
            <w:r w:rsidRPr="00714774">
              <w:t>омещ</w:t>
            </w:r>
            <w:proofErr w:type="spellEnd"/>
            <w:r w:rsidRPr="00714774">
              <w:t>)</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Объем финансирования (</w:t>
            </w:r>
            <w:proofErr w:type="spellStart"/>
            <w:r w:rsidRPr="00714774">
              <w:t>млн</w:t>
            </w:r>
            <w:proofErr w:type="gramStart"/>
            <w:r w:rsidRPr="00714774">
              <w:t>.р</w:t>
            </w:r>
            <w:proofErr w:type="gramEnd"/>
            <w:r w:rsidRPr="00714774">
              <w:t>уб</w:t>
            </w:r>
            <w:proofErr w:type="spellEnd"/>
            <w:r w:rsidRPr="00714774">
              <w:t>)</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Кол-во сирот, состоящих в очереди на получение жилья</w:t>
            </w:r>
          </w:p>
        </w:tc>
      </w:tr>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2017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10</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13</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9,656</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72</w:t>
            </w:r>
          </w:p>
        </w:tc>
      </w:tr>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2018</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3</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8</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12,671</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68</w:t>
            </w:r>
          </w:p>
        </w:tc>
      </w:tr>
    </w:tbl>
    <w:p w:rsidR="00714774" w:rsidRPr="00714774" w:rsidRDefault="00714774" w:rsidP="00714774">
      <w:r w:rsidRPr="00714774">
        <w:t> </w:t>
      </w:r>
    </w:p>
    <w:p w:rsidR="00714774" w:rsidRPr="00714774" w:rsidRDefault="00714774" w:rsidP="00714774">
      <w:r w:rsidRPr="00714774">
        <w:lastRenderedPageBreak/>
        <w:t>Социальную выплату на приобретение (строительство) жилья гражданам, проживающим в сельской местности, в том числе молодым семьям и молодым специалистам, получили 2 семьи на общую сумму 1,867 млн. рублей.</w:t>
      </w:r>
    </w:p>
    <w:tbl>
      <w:tblPr>
        <w:tblW w:w="0" w:type="auto"/>
        <w:tblCellMar>
          <w:top w:w="15" w:type="dxa"/>
          <w:left w:w="15" w:type="dxa"/>
          <w:bottom w:w="15" w:type="dxa"/>
          <w:right w:w="15" w:type="dxa"/>
        </w:tblCellMar>
        <w:tblLook w:val="04A0"/>
      </w:tblPr>
      <w:tblGrid>
        <w:gridCol w:w="877"/>
        <w:gridCol w:w="1187"/>
        <w:gridCol w:w="1187"/>
        <w:gridCol w:w="945"/>
        <w:gridCol w:w="1279"/>
        <w:gridCol w:w="1255"/>
        <w:gridCol w:w="1369"/>
        <w:gridCol w:w="1686"/>
      </w:tblGrid>
      <w:tr w:rsidR="00714774" w:rsidRPr="00714774" w:rsidTr="00714774">
        <w:trPr>
          <w:cantSplit/>
        </w:trPr>
        <w:tc>
          <w:tcPr>
            <w:tcW w:w="0" w:type="auto"/>
            <w:vMerge w:val="restart"/>
            <w:shd w:val="clear" w:color="auto" w:fill="auto"/>
            <w:tcMar>
              <w:top w:w="215" w:type="dxa"/>
              <w:left w:w="215" w:type="dxa"/>
              <w:bottom w:w="215" w:type="dxa"/>
              <w:right w:w="215" w:type="dxa"/>
            </w:tcMar>
            <w:vAlign w:val="center"/>
            <w:hideMark/>
          </w:tcPr>
          <w:p w:rsidR="00714774" w:rsidRPr="00714774" w:rsidRDefault="00714774" w:rsidP="00714774">
            <w:r w:rsidRPr="00714774">
              <w:t>Год</w:t>
            </w:r>
          </w:p>
        </w:tc>
        <w:tc>
          <w:tcPr>
            <w:tcW w:w="0" w:type="auto"/>
            <w:vMerge w:val="restart"/>
            <w:shd w:val="clear" w:color="auto" w:fill="auto"/>
            <w:tcMar>
              <w:top w:w="215" w:type="dxa"/>
              <w:left w:w="215" w:type="dxa"/>
              <w:bottom w:w="215" w:type="dxa"/>
              <w:right w:w="215" w:type="dxa"/>
            </w:tcMar>
            <w:vAlign w:val="center"/>
            <w:hideMark/>
          </w:tcPr>
          <w:p w:rsidR="00714774" w:rsidRPr="00714774" w:rsidRDefault="00714774" w:rsidP="00714774">
            <w:r w:rsidRPr="00714774">
              <w:t>План</w:t>
            </w:r>
          </w:p>
          <w:p w:rsidR="00714774" w:rsidRPr="00714774" w:rsidRDefault="00714774" w:rsidP="00714774">
            <w:r w:rsidRPr="00714774">
              <w:t>(кол-во семей)</w:t>
            </w:r>
          </w:p>
          <w:p w:rsidR="00714774" w:rsidRPr="00714774" w:rsidRDefault="00714774" w:rsidP="00714774">
            <w:r w:rsidRPr="00714774">
              <w:t> </w:t>
            </w:r>
          </w:p>
        </w:tc>
        <w:tc>
          <w:tcPr>
            <w:tcW w:w="0" w:type="auto"/>
            <w:vMerge w:val="restart"/>
            <w:shd w:val="clear" w:color="auto" w:fill="auto"/>
            <w:tcMar>
              <w:top w:w="215" w:type="dxa"/>
              <w:left w:w="215" w:type="dxa"/>
              <w:bottom w:w="215" w:type="dxa"/>
              <w:right w:w="215" w:type="dxa"/>
            </w:tcMar>
            <w:vAlign w:val="center"/>
            <w:hideMark/>
          </w:tcPr>
          <w:p w:rsidR="00714774" w:rsidRPr="00714774" w:rsidRDefault="00714774" w:rsidP="00714774">
            <w:r w:rsidRPr="00714774">
              <w:t>Факт</w:t>
            </w:r>
          </w:p>
          <w:p w:rsidR="00714774" w:rsidRPr="00714774" w:rsidRDefault="00714774" w:rsidP="00714774">
            <w:r w:rsidRPr="00714774">
              <w:t>(кол-во семей)</w:t>
            </w:r>
          </w:p>
        </w:tc>
        <w:tc>
          <w:tcPr>
            <w:tcW w:w="0" w:type="auto"/>
            <w:gridSpan w:val="4"/>
            <w:shd w:val="clear" w:color="auto" w:fill="auto"/>
            <w:tcMar>
              <w:top w:w="215" w:type="dxa"/>
              <w:left w:w="215" w:type="dxa"/>
              <w:bottom w:w="215" w:type="dxa"/>
              <w:right w:w="215" w:type="dxa"/>
            </w:tcMar>
            <w:vAlign w:val="center"/>
            <w:hideMark/>
          </w:tcPr>
          <w:p w:rsidR="00714774" w:rsidRPr="00714774" w:rsidRDefault="00714774" w:rsidP="00714774">
            <w:r w:rsidRPr="00714774">
              <w:t>Объем финансирования, млн</w:t>
            </w:r>
            <w:proofErr w:type="gramStart"/>
            <w:r w:rsidRPr="00714774">
              <w:t>.р</w:t>
            </w:r>
            <w:proofErr w:type="gramEnd"/>
            <w:r w:rsidRPr="00714774">
              <w:t>уб.</w:t>
            </w:r>
          </w:p>
          <w:p w:rsidR="00714774" w:rsidRPr="00714774" w:rsidRDefault="00714774" w:rsidP="00714774">
            <w:r w:rsidRPr="00714774">
              <w:t> </w:t>
            </w:r>
          </w:p>
        </w:tc>
        <w:tc>
          <w:tcPr>
            <w:tcW w:w="0" w:type="auto"/>
            <w:vMerge w:val="restart"/>
            <w:shd w:val="clear" w:color="auto" w:fill="auto"/>
            <w:tcMar>
              <w:top w:w="215" w:type="dxa"/>
              <w:left w:w="215" w:type="dxa"/>
              <w:bottom w:w="215" w:type="dxa"/>
              <w:right w:w="215" w:type="dxa"/>
            </w:tcMar>
            <w:vAlign w:val="center"/>
            <w:hideMark/>
          </w:tcPr>
          <w:p w:rsidR="00714774" w:rsidRPr="00714774" w:rsidRDefault="00714774" w:rsidP="00714774">
            <w:r w:rsidRPr="00714774">
              <w:t>% освоения денежных средств</w:t>
            </w:r>
          </w:p>
        </w:tc>
      </w:tr>
      <w:tr w:rsidR="00714774" w:rsidRPr="00714774" w:rsidTr="00714774">
        <w:trPr>
          <w:cantSplit/>
        </w:trPr>
        <w:tc>
          <w:tcPr>
            <w:tcW w:w="0" w:type="auto"/>
            <w:vMerge/>
            <w:shd w:val="clear" w:color="auto" w:fill="auto"/>
            <w:vAlign w:val="center"/>
            <w:hideMark/>
          </w:tcPr>
          <w:p w:rsidR="00714774" w:rsidRPr="00714774" w:rsidRDefault="00714774" w:rsidP="00714774"/>
        </w:tc>
        <w:tc>
          <w:tcPr>
            <w:tcW w:w="0" w:type="auto"/>
            <w:vMerge/>
            <w:shd w:val="clear" w:color="auto" w:fill="auto"/>
            <w:vAlign w:val="center"/>
            <w:hideMark/>
          </w:tcPr>
          <w:p w:rsidR="00714774" w:rsidRPr="00714774" w:rsidRDefault="00714774" w:rsidP="00714774"/>
        </w:tc>
        <w:tc>
          <w:tcPr>
            <w:tcW w:w="0" w:type="auto"/>
            <w:vMerge/>
            <w:shd w:val="clear" w:color="auto" w:fill="auto"/>
            <w:vAlign w:val="center"/>
            <w:hideMark/>
          </w:tcPr>
          <w:p w:rsidR="00714774" w:rsidRPr="00714774" w:rsidRDefault="00714774" w:rsidP="00714774"/>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Всего</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proofErr w:type="spellStart"/>
            <w:r w:rsidRPr="00714774">
              <w:t>федер</w:t>
            </w:r>
            <w:proofErr w:type="spellEnd"/>
            <w:r w:rsidRPr="00714774">
              <w:t>. бюджет</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proofErr w:type="spellStart"/>
            <w:r w:rsidRPr="00714774">
              <w:t>респ</w:t>
            </w:r>
            <w:proofErr w:type="spellEnd"/>
            <w:r w:rsidRPr="00714774">
              <w:t>. бюджет</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местный бюджет</w:t>
            </w:r>
          </w:p>
        </w:tc>
        <w:tc>
          <w:tcPr>
            <w:tcW w:w="0" w:type="auto"/>
            <w:vMerge/>
            <w:shd w:val="clear" w:color="auto" w:fill="auto"/>
            <w:vAlign w:val="center"/>
            <w:hideMark/>
          </w:tcPr>
          <w:p w:rsidR="00714774" w:rsidRPr="00714774" w:rsidRDefault="00714774" w:rsidP="00714774"/>
        </w:tc>
      </w:tr>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2017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6</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6</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5,819</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3,404</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2,166</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0,249</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100</w:t>
            </w:r>
          </w:p>
        </w:tc>
      </w:tr>
      <w:tr w:rsidR="00714774" w:rsidRPr="00714774" w:rsidTr="00714774">
        <w:trPr>
          <w:cantSplit/>
        </w:trPr>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2018</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2</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1,867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1,683</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0,107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0,077</w:t>
            </w:r>
          </w:p>
        </w:tc>
        <w:tc>
          <w:tcPr>
            <w:tcW w:w="0" w:type="auto"/>
            <w:shd w:val="clear" w:color="auto" w:fill="auto"/>
            <w:tcMar>
              <w:top w:w="215" w:type="dxa"/>
              <w:left w:w="215" w:type="dxa"/>
              <w:bottom w:w="215" w:type="dxa"/>
              <w:right w:w="215" w:type="dxa"/>
            </w:tcMar>
            <w:vAlign w:val="center"/>
            <w:hideMark/>
          </w:tcPr>
          <w:p w:rsidR="00714774" w:rsidRPr="00714774" w:rsidRDefault="00714774" w:rsidP="00714774">
            <w:r w:rsidRPr="00714774">
              <w:t>100</w:t>
            </w:r>
          </w:p>
        </w:tc>
      </w:tr>
    </w:tbl>
    <w:p w:rsidR="00714774" w:rsidRPr="00714774" w:rsidRDefault="00714774" w:rsidP="00714774">
      <w:r w:rsidRPr="00714774">
        <w:t> </w:t>
      </w:r>
    </w:p>
    <w:p w:rsidR="00714774" w:rsidRPr="00714774" w:rsidRDefault="00714774" w:rsidP="00714774">
      <w:proofErr w:type="gramStart"/>
      <w:r w:rsidRPr="00714774">
        <w:t xml:space="preserve">В 2018 году в рамках программы капитального ремонта выполнен ремонт кровель в 8 домах (Цивильский район, д. Михайловка, ул. Чапаева, д.21,27; д. Малое </w:t>
      </w:r>
      <w:proofErr w:type="spellStart"/>
      <w:r w:rsidRPr="00714774">
        <w:t>Янгорчино</w:t>
      </w:r>
      <w:proofErr w:type="spellEnd"/>
      <w:r w:rsidRPr="00714774">
        <w:t>, ул. Шоссейная, д.5,6; с. Чурачики, ул. Заводская, д.9, ул. Молодежная, д.6; п. Опытный, ул. Иванова, д.4, г. Цивильск, ул. Гоголя, д.9).</w:t>
      </w:r>
      <w:proofErr w:type="gramEnd"/>
      <w:r w:rsidRPr="00714774">
        <w:t xml:space="preserve"> В 1 доме завершен капитальный ремонт системы электроснабжения (Цивильский район, с</w:t>
      </w:r>
      <w:proofErr w:type="gramStart"/>
      <w:r w:rsidRPr="00714774">
        <w:t>.Ч</w:t>
      </w:r>
      <w:proofErr w:type="gramEnd"/>
      <w:r w:rsidRPr="00714774">
        <w:t xml:space="preserve">урачики, ул. Заводская, д.2), в 1 доме завершен капитальный ремонт системы водоснабжения и водоотведения с установкой коллективного прибора учета воды (Цивильский район, с. Чурачики, ул. Заводская, д.3). Затраты составили 12,434 млн. руб. Всего ремонт произведен в 10 многоквартирных </w:t>
      </w:r>
      <w:proofErr w:type="gramStart"/>
      <w:r w:rsidRPr="00714774">
        <w:t>домах</w:t>
      </w:r>
      <w:proofErr w:type="gramEnd"/>
      <w:r w:rsidRPr="00714774">
        <w:t xml:space="preserve">. Дополнительно с учетом субсидирования из средств бюджета Цивильского района в размере 2,7 млн. рублей в 1 доме (г. Цивильск, ул. </w:t>
      </w:r>
      <w:proofErr w:type="gramStart"/>
      <w:r w:rsidRPr="00714774">
        <w:t>Северная</w:t>
      </w:r>
      <w:proofErr w:type="gramEnd"/>
      <w:r w:rsidRPr="00714774">
        <w:t xml:space="preserve">, д.6) осуществляется ремонт кровли. Окончание работ запланировано до февраля 2019 года. </w:t>
      </w:r>
    </w:p>
    <w:p w:rsidR="00A77F16" w:rsidRDefault="00A77F16"/>
    <w:p w:rsidR="00E1278B" w:rsidRDefault="00E1278B"/>
    <w:p w:rsidR="00E1278B" w:rsidRDefault="00E1278B"/>
    <w:p w:rsidR="00E1278B" w:rsidRDefault="00E1278B"/>
    <w:p w:rsidR="00E1278B" w:rsidRDefault="00E1278B"/>
    <w:p w:rsidR="00E1278B" w:rsidRDefault="00E1278B"/>
    <w:p w:rsidR="00E1278B" w:rsidRDefault="00E1278B"/>
    <w:p w:rsidR="00E1278B" w:rsidRDefault="00E1278B"/>
    <w:p w:rsidR="00714774" w:rsidRDefault="00714774"/>
    <w:p w:rsidR="00714774" w:rsidRDefault="00714774"/>
    <w:sectPr w:rsidR="00714774" w:rsidSect="00A77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14774"/>
    <w:rsid w:val="004C5A0F"/>
    <w:rsid w:val="00603124"/>
    <w:rsid w:val="0065537D"/>
    <w:rsid w:val="00714774"/>
    <w:rsid w:val="00917D37"/>
    <w:rsid w:val="009366CC"/>
    <w:rsid w:val="00A77F16"/>
    <w:rsid w:val="00BC770E"/>
    <w:rsid w:val="00E12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F16"/>
  </w:style>
  <w:style w:type="paragraph" w:styleId="1">
    <w:name w:val="heading 1"/>
    <w:basedOn w:val="a"/>
    <w:next w:val="a"/>
    <w:link w:val="10"/>
    <w:qFormat/>
    <w:rsid w:val="00714774"/>
    <w:pPr>
      <w:keepNext/>
      <w:spacing w:after="0" w:line="240" w:lineRule="auto"/>
      <w:jc w:val="right"/>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4774"/>
    <w:rPr>
      <w:rFonts w:ascii="Times New Roman" w:eastAsia="Times New Roman" w:hAnsi="Times New Roman" w:cs="Times New Roman"/>
      <w:sz w:val="28"/>
      <w:szCs w:val="20"/>
      <w:lang w:eastAsia="ru-RU"/>
    </w:rPr>
  </w:style>
  <w:style w:type="paragraph" w:styleId="a3">
    <w:name w:val="Normal (Web)"/>
    <w:aliases w:val="Обычный (Web)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4"/>
    <w:uiPriority w:val="99"/>
    <w:qFormat/>
    <w:rsid w:val="00714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Обычный (Web) Знак,Обычный (веб) Знак1 Знак,Обычный (веб) Знак Знак Знак1,Обычный (веб) Знак Знак Знак Знак,Обычный (веб) Знак Знак Знак Знак Знак Знак"/>
    <w:link w:val="a3"/>
    <w:uiPriority w:val="99"/>
    <w:rsid w:val="00714774"/>
    <w:rPr>
      <w:rFonts w:ascii="Times New Roman" w:eastAsia="Times New Roman" w:hAnsi="Times New Roman" w:cs="Times New Roman"/>
      <w:sz w:val="24"/>
      <w:szCs w:val="24"/>
    </w:rPr>
  </w:style>
  <w:style w:type="paragraph" w:customStyle="1" w:styleId="a5">
    <w:name w:val="Нормальный (таблица)"/>
    <w:basedOn w:val="a"/>
    <w:next w:val="a"/>
    <w:uiPriority w:val="99"/>
    <w:rsid w:val="0071477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714774"/>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38636709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83">
          <w:marLeft w:val="0"/>
          <w:marRight w:val="0"/>
          <w:marTop w:val="0"/>
          <w:marBottom w:val="0"/>
          <w:divBdr>
            <w:top w:val="none" w:sz="0" w:space="0" w:color="auto"/>
            <w:left w:val="none" w:sz="0" w:space="0" w:color="auto"/>
            <w:bottom w:val="none" w:sz="0" w:space="0" w:color="auto"/>
            <w:right w:val="none" w:sz="0" w:space="0" w:color="auto"/>
          </w:divBdr>
          <w:divsChild>
            <w:div w:id="1372652270">
              <w:marLeft w:val="0"/>
              <w:marRight w:val="0"/>
              <w:marTop w:val="0"/>
              <w:marBottom w:val="0"/>
              <w:divBdr>
                <w:top w:val="none" w:sz="0" w:space="0" w:color="auto"/>
                <w:left w:val="none" w:sz="0" w:space="0" w:color="auto"/>
                <w:bottom w:val="none" w:sz="0" w:space="0" w:color="auto"/>
                <w:right w:val="none" w:sz="0" w:space="0" w:color="auto"/>
              </w:divBdr>
              <w:divsChild>
                <w:div w:id="1586845497">
                  <w:marLeft w:val="0"/>
                  <w:marRight w:val="0"/>
                  <w:marTop w:val="0"/>
                  <w:marBottom w:val="0"/>
                  <w:divBdr>
                    <w:top w:val="none" w:sz="0" w:space="0" w:color="auto"/>
                    <w:left w:val="none" w:sz="0" w:space="0" w:color="auto"/>
                    <w:bottom w:val="none" w:sz="0" w:space="0" w:color="auto"/>
                    <w:right w:val="none" w:sz="0" w:space="0" w:color="auto"/>
                  </w:divBdr>
                  <w:divsChild>
                    <w:div w:id="921062338">
                      <w:marLeft w:val="0"/>
                      <w:marRight w:val="0"/>
                      <w:marTop w:val="0"/>
                      <w:marBottom w:val="1290"/>
                      <w:divBdr>
                        <w:top w:val="none" w:sz="0" w:space="0" w:color="auto"/>
                        <w:left w:val="none" w:sz="0" w:space="0" w:color="auto"/>
                        <w:bottom w:val="none" w:sz="0" w:space="0" w:color="auto"/>
                        <w:right w:val="none" w:sz="0" w:space="0" w:color="auto"/>
                      </w:divBdr>
                      <w:divsChild>
                        <w:div w:id="752822186">
                          <w:marLeft w:val="0"/>
                          <w:marRight w:val="0"/>
                          <w:marTop w:val="0"/>
                          <w:marBottom w:val="0"/>
                          <w:divBdr>
                            <w:top w:val="none" w:sz="0" w:space="0" w:color="auto"/>
                            <w:left w:val="none" w:sz="0" w:space="0" w:color="auto"/>
                            <w:bottom w:val="none" w:sz="0" w:space="0" w:color="auto"/>
                            <w:right w:val="none" w:sz="0" w:space="0" w:color="auto"/>
                          </w:divBdr>
                          <w:divsChild>
                            <w:div w:id="892349451">
                              <w:marLeft w:val="-322"/>
                              <w:marRight w:val="-322"/>
                              <w:marTop w:val="0"/>
                              <w:marBottom w:val="0"/>
                              <w:divBdr>
                                <w:top w:val="none" w:sz="0" w:space="0" w:color="auto"/>
                                <w:left w:val="none" w:sz="0" w:space="0" w:color="auto"/>
                                <w:bottom w:val="none" w:sz="0" w:space="0" w:color="auto"/>
                                <w:right w:val="none" w:sz="0" w:space="0" w:color="auto"/>
                              </w:divBdr>
                              <w:divsChild>
                                <w:div w:id="2111774024">
                                  <w:marLeft w:val="0"/>
                                  <w:marRight w:val="0"/>
                                  <w:marTop w:val="0"/>
                                  <w:marBottom w:val="0"/>
                                  <w:divBdr>
                                    <w:top w:val="none" w:sz="0" w:space="0" w:color="auto"/>
                                    <w:left w:val="none" w:sz="0" w:space="0" w:color="auto"/>
                                    <w:bottom w:val="none" w:sz="0" w:space="0" w:color="auto"/>
                                    <w:right w:val="none" w:sz="0" w:space="0" w:color="auto"/>
                                  </w:divBdr>
                                  <w:divsChild>
                                    <w:div w:id="1715230686">
                                      <w:marLeft w:val="0"/>
                                      <w:marRight w:val="0"/>
                                      <w:marTop w:val="0"/>
                                      <w:marBottom w:val="516"/>
                                      <w:divBdr>
                                        <w:top w:val="none" w:sz="0" w:space="0" w:color="auto"/>
                                        <w:left w:val="none" w:sz="0" w:space="0" w:color="auto"/>
                                        <w:bottom w:val="single" w:sz="8" w:space="24" w:color="E6E6E6"/>
                                        <w:right w:val="none" w:sz="0" w:space="0" w:color="auto"/>
                                      </w:divBdr>
                                    </w:div>
                                  </w:divsChild>
                                </w:div>
                                <w:div w:id="1685012636">
                                  <w:marLeft w:val="0"/>
                                  <w:marRight w:val="0"/>
                                  <w:marTop w:val="0"/>
                                  <w:marBottom w:val="0"/>
                                  <w:divBdr>
                                    <w:top w:val="none" w:sz="0" w:space="0" w:color="auto"/>
                                    <w:left w:val="none" w:sz="0" w:space="0" w:color="auto"/>
                                    <w:bottom w:val="none" w:sz="0" w:space="0" w:color="auto"/>
                                    <w:right w:val="none" w:sz="0" w:space="0" w:color="auto"/>
                                  </w:divBdr>
                                  <w:divsChild>
                                    <w:div w:id="813639762">
                                      <w:marLeft w:val="0"/>
                                      <w:marRight w:val="0"/>
                                      <w:marTop w:val="0"/>
                                      <w:marBottom w:val="0"/>
                                      <w:divBdr>
                                        <w:top w:val="none" w:sz="0" w:space="0" w:color="auto"/>
                                        <w:left w:val="none" w:sz="0" w:space="0" w:color="auto"/>
                                        <w:bottom w:val="none" w:sz="0" w:space="0" w:color="auto"/>
                                        <w:right w:val="none" w:sz="0" w:space="0" w:color="auto"/>
                                      </w:divBdr>
                                      <w:divsChild>
                                        <w:div w:id="1784694096">
                                          <w:marLeft w:val="0"/>
                                          <w:marRight w:val="0"/>
                                          <w:marTop w:val="43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zivil_zhkh5</dc:creator>
  <cp:lastModifiedBy>zivil_zhkh5</cp:lastModifiedBy>
  <cp:revision>3</cp:revision>
  <dcterms:created xsi:type="dcterms:W3CDTF">2021-04-12T10:10:00Z</dcterms:created>
  <dcterms:modified xsi:type="dcterms:W3CDTF">2021-04-12T10:22:00Z</dcterms:modified>
</cp:coreProperties>
</file>