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1ED" w:rsidRDefault="00E831ED" w:rsidP="00E831ED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N 8</w:t>
      </w:r>
    </w:p>
    <w:p w:rsidR="00E831ED" w:rsidRDefault="00E831ED" w:rsidP="00E831E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Учетной политике финансового отдела </w:t>
      </w:r>
    </w:p>
    <w:p w:rsidR="00E831ED" w:rsidRDefault="00E831ED" w:rsidP="00E831E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целей бухгалтерского (бюджетного) учета</w:t>
      </w:r>
    </w:p>
    <w:p w:rsidR="00E831ED" w:rsidRDefault="00E831ED" w:rsidP="00E831ED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831ED" w:rsidRDefault="00E831ED" w:rsidP="00E831E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E831ED" w:rsidRDefault="00E831ED" w:rsidP="00E831ED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bookmarkStart w:id="0" w:name="_GoBack"/>
      <w:r>
        <w:rPr>
          <w:b/>
          <w:bCs/>
          <w:sz w:val="24"/>
          <w:szCs w:val="24"/>
          <w:lang w:eastAsia="ru-RU"/>
        </w:rPr>
        <w:t>Положение о комиссии по поступлению и выбытию активов</w:t>
      </w:r>
      <w:bookmarkEnd w:id="0"/>
    </w:p>
    <w:p w:rsidR="00E831ED" w:rsidRDefault="00E831ED" w:rsidP="00E831ED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831ED" w:rsidRDefault="00E831ED" w:rsidP="00E831ED">
      <w:pPr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1. Общие положения</w:t>
      </w:r>
    </w:p>
    <w:p w:rsidR="00E831ED" w:rsidRDefault="00E831ED" w:rsidP="00E831ED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831ED" w:rsidRDefault="00E831ED" w:rsidP="00E831ED">
      <w:pPr>
        <w:pStyle w:val="ConsPlusNormal"/>
        <w:jc w:val="center"/>
        <w:outlineLvl w:val="2"/>
      </w:pPr>
      <w:r>
        <w:rPr>
          <w:b/>
          <w:bCs/>
        </w:rPr>
        <w:t>1. Общие положения</w:t>
      </w:r>
    </w:p>
    <w:p w:rsidR="00E831ED" w:rsidRDefault="00E831ED" w:rsidP="00E831ED">
      <w:pPr>
        <w:pStyle w:val="ConsPlusNormal"/>
        <w:jc w:val="both"/>
      </w:pPr>
    </w:p>
    <w:p w:rsidR="00E831ED" w:rsidRDefault="00E831ED" w:rsidP="00E831ED">
      <w:pPr>
        <w:pStyle w:val="ConsPlusNormal"/>
        <w:ind w:firstLine="540"/>
        <w:jc w:val="both"/>
      </w:pPr>
      <w:r>
        <w:t>1.1. Состав комиссии по поступлению и выбытию активов (далее - комиссия) утверждается приказом руководителя.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1.2.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1.3. Заседания комиссии проводятся по мере необходимости.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1.4. Срок рассмотрения комиссией представленных ей документов не должен превышать 14 календарных дней.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1.5. Заседание комиссии правомочно при наличии на ее заседании не менее 2/3 членов ее состава.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1.6. В случае отсутствия в финансовом отделе должностных лиц,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1.7. Экспертом не может быть материально ответственное лицо, на которое возложена ответственность за материальные ценности, в отношении которых принимается решение о списании.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1.8. 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E831ED" w:rsidRDefault="00E831ED" w:rsidP="00E831ED">
      <w:pPr>
        <w:pStyle w:val="ConsPlusNormal"/>
        <w:jc w:val="both"/>
      </w:pPr>
    </w:p>
    <w:p w:rsidR="00E831ED" w:rsidRDefault="00E831ED" w:rsidP="00E831ED">
      <w:pPr>
        <w:pStyle w:val="ConsPlusNormal"/>
        <w:jc w:val="center"/>
        <w:outlineLvl w:val="2"/>
      </w:pPr>
      <w:r>
        <w:rPr>
          <w:b/>
          <w:bCs/>
        </w:rPr>
        <w:t>2. Принятие решений по поступлению активов</w:t>
      </w:r>
    </w:p>
    <w:p w:rsidR="00E831ED" w:rsidRDefault="00E831ED" w:rsidP="00E831ED">
      <w:pPr>
        <w:pStyle w:val="ConsPlusNormal"/>
        <w:jc w:val="both"/>
      </w:pPr>
    </w:p>
    <w:p w:rsidR="00E831ED" w:rsidRDefault="00E831ED" w:rsidP="00E831ED">
      <w:pPr>
        <w:pStyle w:val="ConsPlusNormal"/>
        <w:ind w:firstLine="540"/>
        <w:jc w:val="both"/>
      </w:pPr>
      <w:r>
        <w:t>2.1. В части поступления активов комиссия принимает решения по следующим вопросам:</w:t>
      </w:r>
    </w:p>
    <w:p w:rsidR="00E831ED" w:rsidRDefault="00E831ED" w:rsidP="00E831ED">
      <w:pPr>
        <w:pStyle w:val="ConsPlusNormal"/>
        <w:ind w:firstLine="540"/>
        <w:jc w:val="both"/>
      </w:pPr>
      <w:r>
        <w:t>- определение категории нефинансовых активов (основные средства, нематериальные активы, непроизведенные активы или материальные запасы), к которой относится поступившее имущество;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- определение справедливой стоимости безвозмездно полученного имущества;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- определение справедливой стоимости бесхозяйного имущества, принимаемого к учету;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- определение первоначальной стоимости поступивших объектов нефинансовых активов;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lastRenderedPageBreak/>
        <w:t>- определение срока полезного использования имущества в целях начисления по ним амортизации в случаях отсутствия информации в законодательстве РФ и документах производителя;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- определение размера резерва для оплаты фактически осуществленных на отчетную дату затрат, по которым не поступили документы контрагентов;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2.2. 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2.3. 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бюджетному учету.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бюджетному учету.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Справедливая стоимость имущества определяется комиссией по поступлению и выбытию активов методом рыночных цен, а при невозможности использования этого метода - методом амортизированной стоимости замещения.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Размер ущерба в виде потерь от порчи материальных ценностей, других сумм причиненного ущерба имуществу определяется как стоимость восстановления (воспроизводства) испорченного имущества.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2.4. В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 xml:space="preserve">Прием объектов основных средств из ремонта, реконструкции, модернизации комиссией оформляется Актом приема-сдачи отремонтированных, реконструированных и модернизированных объектов основных средств </w:t>
      </w:r>
      <w:hyperlink r:id="rId4" w:history="1">
        <w:r>
          <w:rPr>
            <w:color w:val="0000FF"/>
          </w:rPr>
          <w:t>(ф. 0504103)</w:t>
        </w:r>
      </w:hyperlink>
      <w:r>
        <w:t>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 xml:space="preserve">Частичная ликвидация объекта основных средств при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5" w:history="1">
        <w:r>
          <w:rPr>
            <w:color w:val="0000FF"/>
          </w:rPr>
          <w:t>(ф. 0504103)</w:t>
        </w:r>
      </w:hyperlink>
      <w:r>
        <w:t>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2.5. Поступление нефинансовых активов оформляется комиссией следующими первичными учетными документами: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 xml:space="preserve">- Актом о приеме-передаче объектов нефинансовых активов </w:t>
      </w:r>
      <w:hyperlink r:id="rId6" w:history="1">
        <w:r>
          <w:rPr>
            <w:color w:val="0000FF"/>
          </w:rPr>
          <w:t>(ф. 0504101)</w:t>
        </w:r>
      </w:hyperlink>
      <w:r>
        <w:t>;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 xml:space="preserve">- Приходным ордером на приемку материальных ценностей (нефинансовых активов) </w:t>
      </w:r>
      <w:hyperlink r:id="rId7" w:history="1">
        <w:r>
          <w:rPr>
            <w:color w:val="0000FF"/>
          </w:rPr>
          <w:t>(ф. 0504207)</w:t>
        </w:r>
      </w:hyperlink>
      <w:r>
        <w:t>;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lastRenderedPageBreak/>
        <w:t xml:space="preserve">- Актом приемки материалов (материальных ценностей) </w:t>
      </w:r>
      <w:hyperlink r:id="rId8" w:history="1">
        <w:r>
          <w:rPr>
            <w:color w:val="0000FF"/>
          </w:rPr>
          <w:t>(ф. 0504220)</w:t>
        </w:r>
      </w:hyperlink>
      <w:r>
        <w:t>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2.6.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2.7.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политикой.</w:t>
      </w:r>
    </w:p>
    <w:p w:rsidR="00E831ED" w:rsidRDefault="00E831ED" w:rsidP="00E831ED">
      <w:pPr>
        <w:pStyle w:val="ConsPlusNormal"/>
        <w:jc w:val="both"/>
      </w:pPr>
    </w:p>
    <w:p w:rsidR="00E831ED" w:rsidRDefault="00E831ED" w:rsidP="00E831ED">
      <w:pPr>
        <w:pStyle w:val="ConsPlusNormal"/>
        <w:jc w:val="center"/>
        <w:outlineLvl w:val="2"/>
      </w:pPr>
      <w:r>
        <w:rPr>
          <w:b/>
          <w:bCs/>
        </w:rPr>
        <w:t>3. Принятие решений по выбытию (списанию) активов</w:t>
      </w:r>
    </w:p>
    <w:p w:rsidR="00E831ED" w:rsidRDefault="00E831ED" w:rsidP="00E831ED">
      <w:pPr>
        <w:pStyle w:val="ConsPlusNormal"/>
        <w:jc w:val="center"/>
      </w:pPr>
      <w:r>
        <w:rPr>
          <w:b/>
          <w:bCs/>
        </w:rPr>
        <w:t>и списанию задолженности неплатежеспособных дебиторов</w:t>
      </w:r>
    </w:p>
    <w:p w:rsidR="00E831ED" w:rsidRDefault="00E831ED" w:rsidP="00E831ED">
      <w:pPr>
        <w:pStyle w:val="ConsPlusNormal"/>
        <w:jc w:val="both"/>
      </w:pPr>
    </w:p>
    <w:p w:rsidR="00E831ED" w:rsidRDefault="00E831ED" w:rsidP="00E831ED">
      <w:pPr>
        <w:pStyle w:val="ConsPlusNormal"/>
        <w:ind w:firstLine="540"/>
        <w:jc w:val="both"/>
      </w:pPr>
      <w:r>
        <w:t>3.1. В части выбытия (списания) активов и задолженности комиссия принимает решения по следующим вопросам: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- о выбытии (списании) нефинансовых активов (в том числе объектов движимого имущества стоимостью до 10 000 руб. включительно, учитываемых на забалансовом счете 21);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- возможности использования отдельных узлов, деталей, конструкций и материалов, полученных в результате списания объектов нефинансовых активов;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- частичной ликвидации (</w:t>
      </w:r>
      <w:proofErr w:type="spellStart"/>
      <w:r>
        <w:t>разукомплектации</w:t>
      </w:r>
      <w:proofErr w:type="spellEnd"/>
      <w:r>
        <w:t>) основных средств;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- пригодности дальнейшего использования имущества, возможности и эффективности его восстановления;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- списании задолженности неплатежеспособных дебиторов, а также списании с забалансового учета задолженности, признанной безнадежной к взысканию.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3.2. Решение о выбытии имущества принимается: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- если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- если имущество выбыло из владения, пользования, распоряжения вследствие гибели или уничтожения, в том числе в результате хищения, недостачи, порчи, выявленных при инвентаризации, а также при невозможности выяснения его местонахождения;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- если имущество передается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- в других случаях, предусмотренных законодательством РФ.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3.3. Решение о списании имущества принимается комиссией после проведения следующих мероприятий: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lastRenderedPageBreak/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- установление виновных лиц, действия которых привели к необходимости списания имущества до истечения срока его полезного использования;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- подготовка документов, необходимых для принятия решения о списании имущества.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3.4. 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Решение о списании задолженности с забалансового счета 04 принимается комиссией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3.5. Выбытие (списание) нефинансовых активов оформляется следующими документами: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 xml:space="preserve">- Актом о приеме-передаче объектов нефинансовых активов </w:t>
      </w:r>
      <w:hyperlink r:id="rId9" w:history="1">
        <w:r>
          <w:rPr>
            <w:color w:val="0000FF"/>
          </w:rPr>
          <w:t>(ф. 0504101)</w:t>
        </w:r>
      </w:hyperlink>
      <w:r>
        <w:t>;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 xml:space="preserve">- Актом о списании объектов нефинансовых активов (кроме транспортных средств) </w:t>
      </w:r>
      <w:hyperlink r:id="rId10" w:history="1">
        <w:r>
          <w:rPr>
            <w:color w:val="0000FF"/>
          </w:rPr>
          <w:t>(ф. 0504104)</w:t>
        </w:r>
      </w:hyperlink>
      <w:r>
        <w:t>;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 xml:space="preserve">- Актом о списании транспортного средства </w:t>
      </w:r>
      <w:hyperlink r:id="rId11" w:history="1">
        <w:r>
          <w:rPr>
            <w:color w:val="0000FF"/>
          </w:rPr>
          <w:t>(ф. 0504105)</w:t>
        </w:r>
      </w:hyperlink>
      <w:r>
        <w:t>;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 xml:space="preserve">- Актом о списании мягкого и хозяйственного инвентаря </w:t>
      </w:r>
      <w:hyperlink r:id="rId12" w:history="1">
        <w:r>
          <w:rPr>
            <w:color w:val="0000FF"/>
          </w:rPr>
          <w:t>(ф. 0504143)</w:t>
        </w:r>
      </w:hyperlink>
      <w:r>
        <w:t>;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 xml:space="preserve">- Актом о списании материальных запасов </w:t>
      </w:r>
      <w:hyperlink r:id="rId13" w:history="1">
        <w:r>
          <w:rPr>
            <w:color w:val="0000FF"/>
          </w:rPr>
          <w:t>(ф. 0504230)</w:t>
        </w:r>
      </w:hyperlink>
      <w:r>
        <w:t>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3.6. Оформленный комиссией акт о списании имущества утверждается руководителем.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3.7. До утверждения в установленном порядке акта о списании реализация мероприятий, предусмотренных этим актом, не допускается.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Реализация таких мероприятий осуществляется самостоятельно либо с привлечением третьих лиц на основании заключенного договора и подтверждается комиссией.</w:t>
      </w:r>
    </w:p>
    <w:p w:rsidR="00E831ED" w:rsidRDefault="00E831ED" w:rsidP="00E831ED">
      <w:pPr>
        <w:pStyle w:val="ConsPlusNormal"/>
        <w:jc w:val="both"/>
      </w:pPr>
    </w:p>
    <w:p w:rsidR="00E831ED" w:rsidRDefault="00E831ED" w:rsidP="00E831ED">
      <w:pPr>
        <w:pStyle w:val="ConsPlusNormal"/>
        <w:jc w:val="center"/>
        <w:outlineLvl w:val="2"/>
      </w:pPr>
      <w:r>
        <w:rPr>
          <w:b/>
          <w:bCs/>
        </w:rPr>
        <w:t>4. Принятие решений по вопросам обесценения активов</w:t>
      </w:r>
    </w:p>
    <w:p w:rsidR="00E831ED" w:rsidRDefault="00E831ED" w:rsidP="00E831ED">
      <w:pPr>
        <w:pStyle w:val="ConsPlusNormal"/>
        <w:jc w:val="both"/>
      </w:pPr>
    </w:p>
    <w:p w:rsidR="00E831ED" w:rsidRDefault="00E831ED" w:rsidP="00E831ED">
      <w:pPr>
        <w:pStyle w:val="ConsPlusNormal"/>
        <w:ind w:firstLine="540"/>
        <w:jc w:val="both"/>
      </w:pPr>
      <w:r>
        <w:t>4.1. 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4.2. По результатам рассмотрения, если выявленные признаки обесценения (снижения убытка) являются существенными, комиссия выносит заключение о необходимости определения справедливой стоимости в отношении каждого актива, по которому выявлены признаки возможного обесценения (снижения убытка), или об отсутствии такой необходимости.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4.3. Если выявленные признаки обесценения (снижения убытка) являются несущественными, комиссия выносит заключение об отсутствии необходимости определения справедливой стоимости.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lastRenderedPageBreak/>
        <w:t>4.4. В случае необходимости определения справедливой стоимости комиссия определяет метод, которым будет определяться справедливая стоимость актива.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4.5. Заключение о необходимости (отсутствии необходимости) определения справедливой стоимости и о методе определения справедливой стоимости оформляется в виде представления для начальника финансового отдела.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4.6. В представление также могут быть включены рекомендации комиссии по дальнейшему использованию имущества.</w:t>
      </w:r>
    </w:p>
    <w:p w:rsidR="00E831ED" w:rsidRDefault="00E831ED" w:rsidP="00E831ED">
      <w:pPr>
        <w:pStyle w:val="ConsPlusNormal"/>
        <w:spacing w:before="220"/>
        <w:ind w:firstLine="540"/>
        <w:jc w:val="both"/>
      </w:pPr>
      <w:r>
        <w:t>4.7. В случае выявления признаков снижения убытка от обесценения, если сумма убытка не подлежит восстановлению, комиссия выносит заключение о необходимости (отсутствии необходимости) корректировки оставшегося срока полезного использования актива. Это заключение оформляется в виде представления для начальника финансового отдела.</w:t>
      </w:r>
    </w:p>
    <w:p w:rsidR="00E831ED" w:rsidRDefault="00E831ED" w:rsidP="00E831ED">
      <w:pPr>
        <w:pStyle w:val="ConsPlusNormal"/>
        <w:jc w:val="both"/>
      </w:pPr>
    </w:p>
    <w:p w:rsidR="00E831ED" w:rsidRDefault="00E831ED" w:rsidP="00E831ED">
      <w:pPr>
        <w:pStyle w:val="ConsPlusNormal"/>
        <w:jc w:val="both"/>
      </w:pPr>
    </w:p>
    <w:p w:rsidR="00E831ED" w:rsidRDefault="00E831ED" w:rsidP="00E831ED">
      <w:pPr>
        <w:pStyle w:val="ConsPlusNormal"/>
        <w:jc w:val="both"/>
      </w:pPr>
    </w:p>
    <w:p w:rsidR="00F36862" w:rsidRDefault="00F36862"/>
    <w:sectPr w:rsidR="00F3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ED"/>
    <w:rsid w:val="00830B32"/>
    <w:rsid w:val="00CE3E97"/>
    <w:rsid w:val="00E831ED"/>
    <w:rsid w:val="00F3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D19D2-23AE-409B-AA5A-6CD76AE7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1E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86C440C98D8CC0147AA46A353F5CB019C82FB766F038DF4980307i1S2M" TargetMode="External"/><Relationship Id="rId13" Type="http://schemas.openxmlformats.org/officeDocument/2006/relationships/hyperlink" Target="consultantplus://offline/ref=56386C440C98D8CC0147AA46A353F5CB019C82FB776F038DF4980307i1S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386C440C98D8CC0147AA46A353F5CB019C82F87E6F038DF4980307i1S2M" TargetMode="External"/><Relationship Id="rId12" Type="http://schemas.openxmlformats.org/officeDocument/2006/relationships/hyperlink" Target="consultantplus://offline/ref=56386C440C98D8CC0147AA46A353F5CB019987FC746F038DF4980307i1S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386C440C98D8CC0147AA46A353F5CB019A87FF736F038DF4980307i1S2M" TargetMode="External"/><Relationship Id="rId11" Type="http://schemas.openxmlformats.org/officeDocument/2006/relationships/hyperlink" Target="consultantplus://offline/ref=56386C440C98D8CC0147AA46A353F5CB019987FD7E6F038DF4980307i1S2M" TargetMode="External"/><Relationship Id="rId5" Type="http://schemas.openxmlformats.org/officeDocument/2006/relationships/hyperlink" Target="consultantplus://offline/ref=56386C440C98D8CC0147AA46A353F5CB019A87FF716F038DF4980307i1S2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386C440C98D8CC0147AA46A353F5CB019981FF746F038DF4980307i1S2M" TargetMode="External"/><Relationship Id="rId4" Type="http://schemas.openxmlformats.org/officeDocument/2006/relationships/hyperlink" Target="consultantplus://offline/ref=56386C440C98D8CC0147AA46A353F5CB019A87FF716F038DF4980307i1S2M" TargetMode="External"/><Relationship Id="rId9" Type="http://schemas.openxmlformats.org/officeDocument/2006/relationships/hyperlink" Target="consultantplus://offline/ref=56386C440C98D8CC0147AA46A353F5CB019A87FF736F038DF4980307i1S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1636</Words>
  <Characters>9327</Characters>
  <Application>Microsoft Office Word</Application>
  <DocSecurity>0</DocSecurity>
  <Lines>77</Lines>
  <Paragraphs>21</Paragraphs>
  <ScaleCrop>false</ScaleCrop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2022-09-26T12:51:00Z</dcterms:created>
  <dcterms:modified xsi:type="dcterms:W3CDTF">2022-09-26T12:52:00Z</dcterms:modified>
</cp:coreProperties>
</file>