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A7" w:rsidRPr="009356A7" w:rsidRDefault="009356A7" w:rsidP="009356A7">
      <w:pPr>
        <w:autoSpaceDE w:val="0"/>
        <w:autoSpaceDN w:val="0"/>
        <w:adjustRightInd w:val="0"/>
        <w:ind w:right="5103"/>
        <w:jc w:val="both"/>
        <w:rPr>
          <w:rFonts w:ascii="Times New Roman" w:eastAsia="Calibri" w:hAnsi="Times New Roman"/>
          <w:b/>
          <w:szCs w:val="26"/>
          <w:lang w:eastAsia="en-US"/>
        </w:rPr>
      </w:pPr>
      <w:r w:rsidRPr="009356A7">
        <w:rPr>
          <w:rFonts w:ascii="Times New Roman" w:eastAsia="Calibri" w:hAnsi="Times New Roman"/>
          <w:b/>
          <w:szCs w:val="26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2023 год</w:t>
      </w:r>
    </w:p>
    <w:p w:rsidR="009356A7" w:rsidRPr="009356A7" w:rsidRDefault="009356A7" w:rsidP="009356A7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Pr="009356A7" w:rsidRDefault="009356A7" w:rsidP="009356A7">
      <w:pPr>
        <w:widowControl w:val="0"/>
        <w:ind w:firstLine="567"/>
        <w:jc w:val="both"/>
        <w:rPr>
          <w:rFonts w:ascii="Times New Roman" w:hAnsi="Times New Roman"/>
          <w:szCs w:val="26"/>
        </w:rPr>
      </w:pPr>
    </w:p>
    <w:p w:rsidR="009356A7" w:rsidRPr="009356A7" w:rsidRDefault="009356A7" w:rsidP="009356A7">
      <w:pPr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Чебоксарского </w:t>
      </w:r>
      <w:r>
        <w:rPr>
          <w:rFonts w:ascii="Times New Roman" w:eastAsia="Calibri" w:hAnsi="Times New Roman"/>
          <w:szCs w:val="26"/>
          <w:lang w:eastAsia="en-US"/>
        </w:rPr>
        <w:t>района</w:t>
      </w:r>
      <w:r w:rsidRPr="009356A7">
        <w:rPr>
          <w:rFonts w:ascii="Times New Roman" w:eastAsia="Calibri" w:hAnsi="Times New Roman"/>
          <w:szCs w:val="26"/>
          <w:lang w:eastAsia="en-US"/>
        </w:rPr>
        <w:t xml:space="preserve"> Чувашской Республики от 15.12.2022 № 06-11 «Об утверждении </w:t>
      </w:r>
      <w:hyperlink r:id="rId8" w:anchor="65C0IR" w:history="1">
        <w:r w:rsidRPr="009356A7">
          <w:rPr>
            <w:rFonts w:ascii="Times New Roman" w:eastAsia="Calibri" w:hAnsi="Times New Roman"/>
            <w:szCs w:val="26"/>
            <w:lang w:eastAsia="en-US"/>
          </w:rPr>
          <w:t>Положения о муниципальном земельном контроле</w:t>
        </w:r>
      </w:hyperlink>
      <w:r w:rsidRPr="009356A7">
        <w:rPr>
          <w:rFonts w:ascii="Times New Roman" w:eastAsia="Calibri" w:hAnsi="Times New Roman"/>
          <w:szCs w:val="26"/>
          <w:lang w:eastAsia="en-US"/>
        </w:rPr>
        <w:t xml:space="preserve">», администрация Чебоксарского </w:t>
      </w:r>
      <w:r>
        <w:rPr>
          <w:rFonts w:ascii="Times New Roman" w:eastAsia="Calibri" w:hAnsi="Times New Roman"/>
          <w:szCs w:val="26"/>
          <w:lang w:eastAsia="en-US"/>
        </w:rPr>
        <w:t>района</w:t>
      </w:r>
      <w:r w:rsidRPr="009356A7">
        <w:rPr>
          <w:rFonts w:ascii="Times New Roman" w:eastAsia="Calibri" w:hAnsi="Times New Roman"/>
          <w:szCs w:val="26"/>
          <w:lang w:eastAsia="en-US"/>
        </w:rPr>
        <w:t xml:space="preserve"> Чувашской Республики  п о с т а н о в л я е т:</w:t>
      </w: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2023 год.</w:t>
      </w:r>
    </w:p>
    <w:p w:rsidR="009356A7" w:rsidRPr="009356A7" w:rsidRDefault="009356A7" w:rsidP="009356A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6A7">
        <w:rPr>
          <w:rFonts w:eastAsia="Calibri"/>
          <w:sz w:val="26"/>
          <w:szCs w:val="26"/>
          <w:lang w:eastAsia="en-US"/>
        </w:rPr>
        <w:t xml:space="preserve">2. Сектору земельного контроля и экологии отдела сельского хозяйства администрации </w:t>
      </w:r>
      <w:r>
        <w:rPr>
          <w:rFonts w:eastAsia="Calibri"/>
          <w:sz w:val="26"/>
          <w:szCs w:val="26"/>
          <w:lang w:eastAsia="en-US"/>
        </w:rPr>
        <w:t>района</w:t>
      </w:r>
      <w:r w:rsidRPr="009356A7">
        <w:rPr>
          <w:rFonts w:eastAsia="Calibri"/>
          <w:sz w:val="26"/>
          <w:szCs w:val="26"/>
          <w:lang w:eastAsia="en-US"/>
        </w:rPr>
        <w:t xml:space="preserve"> обеспечить размещение Программы профилактики</w:t>
      </w:r>
      <w:r w:rsidRPr="009356A7">
        <w:rPr>
          <w:sz w:val="26"/>
          <w:szCs w:val="26"/>
        </w:rPr>
        <w:t xml:space="preserve">, указанной в пункте 1 настоящего постановления, на официальном сайте администрации Чебоксарского </w:t>
      </w:r>
      <w:r>
        <w:rPr>
          <w:rFonts w:eastAsia="Calibri"/>
          <w:sz w:val="26"/>
          <w:szCs w:val="26"/>
          <w:lang w:eastAsia="en-US"/>
        </w:rPr>
        <w:t>района</w:t>
      </w:r>
      <w:r w:rsidRPr="009356A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356A7" w:rsidRPr="009356A7" w:rsidRDefault="009356A7" w:rsidP="009356A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6A7">
        <w:rPr>
          <w:sz w:val="26"/>
          <w:szCs w:val="26"/>
        </w:rPr>
        <w:t xml:space="preserve">3. Контроль за исполнением настоящего постановления возложить на отдел сельского хозяйства администрации Чебоксарского </w:t>
      </w:r>
      <w:r>
        <w:rPr>
          <w:sz w:val="26"/>
          <w:szCs w:val="26"/>
        </w:rPr>
        <w:t>района</w:t>
      </w:r>
      <w:r w:rsidRPr="009356A7">
        <w:rPr>
          <w:sz w:val="26"/>
          <w:szCs w:val="26"/>
        </w:rPr>
        <w:t xml:space="preserve"> Чувашской Республики.</w:t>
      </w:r>
    </w:p>
    <w:p w:rsidR="009356A7" w:rsidRPr="009356A7" w:rsidRDefault="009356A7" w:rsidP="009356A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6A7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9356A7" w:rsidRPr="009356A7" w:rsidRDefault="009356A7" w:rsidP="009356A7">
      <w:pPr>
        <w:ind w:firstLine="567"/>
        <w:jc w:val="both"/>
        <w:rPr>
          <w:rFonts w:ascii="Times New Roman" w:hAnsi="Times New Roman"/>
          <w:szCs w:val="26"/>
        </w:rPr>
      </w:pPr>
    </w:p>
    <w:p w:rsidR="009356A7" w:rsidRPr="009356A7" w:rsidRDefault="009356A7" w:rsidP="009356A7">
      <w:pPr>
        <w:ind w:firstLine="567"/>
        <w:jc w:val="both"/>
        <w:rPr>
          <w:rFonts w:ascii="Times New Roman" w:hAnsi="Times New Roman"/>
          <w:szCs w:val="26"/>
        </w:rPr>
      </w:pPr>
    </w:p>
    <w:p w:rsidR="009356A7" w:rsidRPr="009356A7" w:rsidRDefault="009356A7" w:rsidP="009356A7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356A7" w:rsidRPr="009356A7" w:rsidTr="00C7437B">
        <w:tc>
          <w:tcPr>
            <w:tcW w:w="5211" w:type="dxa"/>
          </w:tcPr>
          <w:p w:rsidR="009356A7" w:rsidRPr="009356A7" w:rsidRDefault="009356A7" w:rsidP="009356A7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9356A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4536" w:type="dxa"/>
          </w:tcPr>
          <w:p w:rsidR="009356A7" w:rsidRPr="009356A7" w:rsidRDefault="009356A7" w:rsidP="009356A7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  <w:r w:rsidRPr="009356A7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  <w:tr w:rsidR="009356A7" w:rsidRPr="009356A7" w:rsidTr="00C7437B">
        <w:tc>
          <w:tcPr>
            <w:tcW w:w="5211" w:type="dxa"/>
          </w:tcPr>
          <w:p w:rsidR="009356A7" w:rsidRPr="009356A7" w:rsidRDefault="009356A7" w:rsidP="009356A7">
            <w:pPr>
              <w:ind w:firstLine="567"/>
              <w:jc w:val="both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9356A7" w:rsidRPr="009356A7" w:rsidRDefault="009356A7" w:rsidP="009356A7">
            <w:pPr>
              <w:ind w:firstLine="567"/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</w:tr>
    </w:tbl>
    <w:p w:rsidR="009356A7" w:rsidRPr="009356A7" w:rsidRDefault="009356A7" w:rsidP="009356A7">
      <w:pPr>
        <w:widowControl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widowControl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widowControl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widowControl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br w:type="page"/>
      </w:r>
      <w:r w:rsidRPr="009356A7">
        <w:rPr>
          <w:rFonts w:ascii="Times New Roman" w:eastAsia="Calibri" w:hAnsi="Times New Roman"/>
          <w:szCs w:val="26"/>
          <w:lang w:eastAsia="en-US"/>
        </w:rPr>
        <w:lastRenderedPageBreak/>
        <w:t>УТВЕРЖДЕНА</w:t>
      </w:r>
    </w:p>
    <w:p w:rsidR="009356A7" w:rsidRDefault="009356A7" w:rsidP="009356A7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 xml:space="preserve">постановлением администрации Чебоксарского </w:t>
      </w:r>
      <w:r>
        <w:rPr>
          <w:rFonts w:ascii="Times New Roman" w:eastAsia="Calibri" w:hAnsi="Times New Roman"/>
          <w:szCs w:val="26"/>
          <w:lang w:eastAsia="en-US"/>
        </w:rPr>
        <w:t>района</w:t>
      </w:r>
      <w:r w:rsidRPr="009356A7">
        <w:rPr>
          <w:rFonts w:ascii="Times New Roman" w:eastAsia="Calibri" w:hAnsi="Times New Roman"/>
          <w:szCs w:val="26"/>
          <w:lang w:eastAsia="en-US"/>
        </w:rPr>
        <w:t xml:space="preserve"> Чувашской Республики </w:t>
      </w:r>
    </w:p>
    <w:p w:rsidR="009356A7" w:rsidRPr="009356A7" w:rsidRDefault="009356A7" w:rsidP="009356A7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от___________№ _____________</w:t>
      </w:r>
    </w:p>
    <w:p w:rsidR="009356A7" w:rsidRDefault="009356A7" w:rsidP="009356A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Calibri" w:hAnsi="Times New Roman"/>
          <w:b/>
          <w:szCs w:val="26"/>
          <w:lang w:eastAsia="en-US"/>
        </w:rPr>
      </w:pPr>
      <w:bookmarkStart w:id="0" w:name="Par44"/>
      <w:bookmarkEnd w:id="0"/>
    </w:p>
    <w:p w:rsidR="009356A7" w:rsidRPr="009356A7" w:rsidRDefault="009356A7" w:rsidP="009356A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9356A7">
        <w:rPr>
          <w:rFonts w:ascii="Times New Roman" w:eastAsia="Calibri" w:hAnsi="Times New Roman"/>
          <w:b/>
          <w:szCs w:val="26"/>
          <w:lang w:eastAsia="en-US"/>
        </w:rPr>
        <w:t>Программа профилактики рисков причинения вреда (ущерба) охраняемым законом ценностям по муниципальному земельному контролю на 2023 год</w:t>
      </w:r>
    </w:p>
    <w:p w:rsidR="009356A7" w:rsidRPr="009356A7" w:rsidRDefault="009356A7" w:rsidP="009356A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356A7" w:rsidRPr="009356A7" w:rsidRDefault="009356A7" w:rsidP="009356A7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ind w:firstLine="567"/>
        <w:jc w:val="center"/>
        <w:rPr>
          <w:rFonts w:ascii="Times New Roman" w:eastAsia="Calibri" w:hAnsi="Times New Roman"/>
          <w:b/>
          <w:szCs w:val="26"/>
          <w:lang w:eastAsia="en-US"/>
        </w:rPr>
      </w:pPr>
      <w:bookmarkStart w:id="1" w:name="Par94"/>
      <w:bookmarkStart w:id="2" w:name="Par175"/>
      <w:bookmarkEnd w:id="1"/>
      <w:bookmarkEnd w:id="2"/>
      <w:r w:rsidRPr="009356A7">
        <w:rPr>
          <w:rFonts w:ascii="Times New Roman" w:eastAsia="Calibri" w:hAnsi="Times New Roman"/>
          <w:b/>
          <w:szCs w:val="26"/>
          <w:lang w:val="en-US" w:eastAsia="en-US"/>
        </w:rPr>
        <w:t>I</w:t>
      </w:r>
      <w:r w:rsidRPr="009356A7">
        <w:rPr>
          <w:rFonts w:ascii="Times New Roman" w:eastAsia="Calibri" w:hAnsi="Times New Roman"/>
          <w:b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</w:t>
      </w:r>
      <w:r w:rsidRPr="009356A7">
        <w:rPr>
          <w:rFonts w:ascii="Times New Roman" w:hAnsi="Times New Roman"/>
          <w:b/>
          <w:szCs w:val="26"/>
        </w:rPr>
        <w:t xml:space="preserve">Чебоксарского </w:t>
      </w:r>
      <w:r>
        <w:rPr>
          <w:rFonts w:ascii="Times New Roman" w:hAnsi="Times New Roman"/>
          <w:b/>
          <w:szCs w:val="26"/>
        </w:rPr>
        <w:t>района</w:t>
      </w:r>
      <w:r w:rsidRPr="009356A7">
        <w:rPr>
          <w:rFonts w:ascii="Times New Roman" w:hAnsi="Times New Roman"/>
          <w:b/>
          <w:szCs w:val="26"/>
        </w:rPr>
        <w:t xml:space="preserve"> Чувашской Республики</w:t>
      </w:r>
      <w:r w:rsidRPr="009356A7">
        <w:rPr>
          <w:rFonts w:ascii="Times New Roman" w:eastAsia="Calibri" w:hAnsi="Times New Roman"/>
          <w:b/>
          <w:szCs w:val="26"/>
          <w:lang w:eastAsia="en-US"/>
        </w:rPr>
        <w:t>, характеристика проблем, на решение которых направлена Программа</w:t>
      </w:r>
    </w:p>
    <w:p w:rsidR="009356A7" w:rsidRPr="009356A7" w:rsidRDefault="009356A7" w:rsidP="009356A7">
      <w:pPr>
        <w:ind w:firstLine="567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 xml:space="preserve">Муниципальный земельный контроль на территории Чебоксарского </w:t>
      </w:r>
      <w:r>
        <w:rPr>
          <w:rFonts w:eastAsia="Calibri"/>
          <w:sz w:val="26"/>
          <w:szCs w:val="26"/>
          <w:lang w:eastAsia="en-US"/>
        </w:rPr>
        <w:t>района</w:t>
      </w:r>
      <w:r w:rsidRPr="009356A7">
        <w:rPr>
          <w:rFonts w:eastAsia="Calibri"/>
          <w:sz w:val="26"/>
          <w:szCs w:val="26"/>
          <w:lang w:eastAsia="en-US"/>
        </w:rPr>
        <w:t xml:space="preserve"> Чувашской Республики осуществляется Администрацией Чебоксарского </w:t>
      </w:r>
      <w:r>
        <w:rPr>
          <w:rFonts w:eastAsia="Calibri"/>
          <w:sz w:val="26"/>
          <w:szCs w:val="26"/>
          <w:lang w:eastAsia="en-US"/>
        </w:rPr>
        <w:t>района</w:t>
      </w:r>
      <w:r w:rsidRPr="009356A7">
        <w:rPr>
          <w:rFonts w:eastAsia="Calibri"/>
          <w:sz w:val="26"/>
          <w:szCs w:val="26"/>
          <w:lang w:eastAsia="en-US"/>
        </w:rPr>
        <w:t>.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 xml:space="preserve">Администрация Чебоксарского </w:t>
      </w:r>
      <w:r>
        <w:rPr>
          <w:rFonts w:ascii="Times New Roman" w:eastAsia="Calibri" w:hAnsi="Times New Roman"/>
          <w:szCs w:val="26"/>
          <w:lang w:eastAsia="en-US"/>
        </w:rPr>
        <w:t>района</w:t>
      </w:r>
      <w:r w:rsidRPr="009356A7">
        <w:rPr>
          <w:rFonts w:ascii="Times New Roman" w:eastAsia="Calibri" w:hAnsi="Times New Roman"/>
          <w:szCs w:val="26"/>
          <w:lang w:eastAsia="en-US"/>
        </w:rPr>
        <w:t xml:space="preserve"> Чувашской Республики (далее – контрольный орган) осуществляет муниципальный земельный контроль за соблюдением: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</w:t>
      </w:r>
      <w:r w:rsidRPr="009356A7">
        <w:rPr>
          <w:rFonts w:eastAsia="Calibri"/>
          <w:sz w:val="26"/>
          <w:szCs w:val="26"/>
          <w:lang w:eastAsia="en-US"/>
        </w:rPr>
        <w:lastRenderedPageBreak/>
        <w:t>огородничества, в указанных целях в течение установленного срока;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ab/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                    и проведения мероприятий по контролю, осуществляемых без взаимодействия                                     с юридическими лицами, индивидуальными предпринимателями.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>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В связи с Постановлением Правительства Российской Федерации от 10.03.2022 № 336 «Об особенностях организации и осуществлению государственного контроля (надзора), муниципального контроля» в 2022 году плановые контрольные мероприятия, а так же внеплановые проверки не проводились.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Одним из направлений профилактической работы является объявление предостережения о недопустимости нарушения обязательных требований земельного законодательства.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Предостережение выдается при наличии у контрольного органа сведения о готовящихся или имеющихся нарушениях обязательных требований земельного законодательства, при условии, что нет подтвержденных данных о том, что нарушение причинило вред землям или несет такую угрозу.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С начала текущего года контрольным органом выдано 82 предостережения о недопустимости нарушений обязательных требований земельного законодательства, из них 2 - юридическим лицам,  80 – гражданам.</w:t>
      </w:r>
    </w:p>
    <w:p w:rsidR="009356A7" w:rsidRPr="009356A7" w:rsidRDefault="009356A7" w:rsidP="009356A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9356A7" w:rsidRPr="009356A7" w:rsidRDefault="009356A7" w:rsidP="009356A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 xml:space="preserve">На регулярной основе давались консультации в ходе личных приемов, посредством телефонной связи. 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56A7">
        <w:rPr>
          <w:rFonts w:eastAsia="Calibri"/>
          <w:sz w:val="26"/>
          <w:szCs w:val="26"/>
          <w:lang w:eastAsia="en-US"/>
        </w:rPr>
        <w:t xml:space="preserve">Проведение профилактических мероприятий направлено на соблюдение подконтрольными субъектами обязательных требований земельного </w:t>
      </w:r>
      <w:r w:rsidRPr="009356A7">
        <w:rPr>
          <w:rFonts w:eastAsia="Calibri"/>
          <w:sz w:val="26"/>
          <w:szCs w:val="26"/>
          <w:lang w:eastAsia="en-US"/>
        </w:rPr>
        <w:lastRenderedPageBreak/>
        <w:t>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356A7" w:rsidRPr="009356A7" w:rsidRDefault="009356A7" w:rsidP="009356A7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9356A7">
        <w:rPr>
          <w:rFonts w:ascii="Times New Roman" w:eastAsia="Calibri" w:hAnsi="Times New Roman"/>
          <w:b/>
          <w:szCs w:val="26"/>
          <w:lang w:eastAsia="en-US"/>
        </w:rPr>
        <w:t>Раздел 2. Цели и задачи реализации программы профилактики рисков причинения вреда</w:t>
      </w: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1. Целями реализации Программы являются: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повышение прозрачности системы контрольно-надзорной деятельности.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2. Задачами реализации Программы являются: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356A7" w:rsidRPr="009356A7" w:rsidRDefault="009356A7" w:rsidP="009356A7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9356A7">
        <w:rPr>
          <w:rFonts w:ascii="Times New Roman" w:eastAsia="Calibri" w:hAnsi="Times New Roman"/>
          <w:szCs w:val="26"/>
          <w:lang w:eastAsia="en-US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190AF0" w:rsidRPr="009356A7" w:rsidRDefault="00190AF0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9356A7">
        <w:rPr>
          <w:rFonts w:ascii="Times New Roman" w:eastAsia="Calibri" w:hAnsi="Times New Roman"/>
          <w:b/>
          <w:szCs w:val="26"/>
          <w:lang w:eastAsia="en-US"/>
        </w:rPr>
        <w:t>Раздел 3. Перечень профилактических мероприятий, сроки (периодичность) их проведения</w:t>
      </w: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560"/>
        <w:gridCol w:w="2977"/>
      </w:tblGrid>
      <w:tr w:rsidR="009356A7" w:rsidRPr="009356A7" w:rsidTr="009356A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9356A7" w:rsidRPr="009356A7" w:rsidTr="00C7437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Информирование</w:t>
            </w:r>
          </w:p>
          <w:p w:rsidR="009356A7" w:rsidRPr="009356A7" w:rsidRDefault="009356A7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9356A7" w:rsidRPr="009356A7" w:rsidRDefault="009356A7" w:rsidP="009356A7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7" w:rsidRPr="009356A7" w:rsidRDefault="009356A7" w:rsidP="00190AF0">
            <w:pPr>
              <w:ind w:firstLine="7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 и экологии отдела сельского хозяйства администрации Чебоксарского района</w:t>
            </w:r>
          </w:p>
        </w:tc>
      </w:tr>
      <w:tr w:rsidR="00190AF0" w:rsidRPr="009356A7" w:rsidTr="00C74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Объявление предостережения</w:t>
            </w:r>
          </w:p>
          <w:p w:rsidR="00190AF0" w:rsidRPr="009356A7" w:rsidRDefault="00190AF0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90AF0" w:rsidRPr="009356A7" w:rsidRDefault="00190AF0" w:rsidP="009356A7">
            <w:pPr>
              <w:widowControl w:val="0"/>
              <w:spacing w:line="277" w:lineRule="exact"/>
              <w:ind w:right="131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widowControl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C7437B">
            <w:pPr>
              <w:ind w:firstLine="7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 и экологии отдела сельского хозяйства администрации Чебоксарского района</w:t>
            </w:r>
          </w:p>
        </w:tc>
      </w:tr>
      <w:tr w:rsidR="00190AF0" w:rsidRPr="009356A7" w:rsidTr="00C74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Консультирование.</w:t>
            </w:r>
          </w:p>
          <w:p w:rsidR="00190AF0" w:rsidRPr="009356A7" w:rsidRDefault="00190AF0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C7437B">
            <w:pPr>
              <w:ind w:firstLine="7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 и экологии отдела сельского хозяйства администрации Чебоксарского района</w:t>
            </w:r>
          </w:p>
        </w:tc>
      </w:tr>
      <w:tr w:rsidR="00190AF0" w:rsidRPr="009356A7" w:rsidTr="00C74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pStyle w:val="ConsPlusNormal"/>
              <w:ind w:right="131" w:firstLine="567"/>
              <w:jc w:val="both"/>
              <w:rPr>
                <w:rFonts w:eastAsia="Calibri"/>
                <w:szCs w:val="24"/>
                <w:lang w:eastAsia="en-US"/>
              </w:rPr>
            </w:pPr>
            <w:r w:rsidRPr="009356A7">
              <w:rPr>
                <w:rFonts w:eastAsia="Calibri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9356A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раз в </w:t>
            </w:r>
            <w:r w:rsidRPr="009356A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III </w:t>
            </w: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квартале</w:t>
            </w:r>
          </w:p>
          <w:p w:rsidR="00190AF0" w:rsidRPr="009356A7" w:rsidRDefault="00190AF0" w:rsidP="009356A7">
            <w:pPr>
              <w:widowControl w:val="0"/>
              <w:spacing w:line="230" w:lineRule="exact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9356A7" w:rsidRDefault="00190AF0" w:rsidP="00C7437B">
            <w:pPr>
              <w:ind w:firstLine="7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 и экологии отдела сельского хозяйства администрации Чебоксарского района</w:t>
            </w:r>
          </w:p>
        </w:tc>
      </w:tr>
    </w:tbl>
    <w:p w:rsidR="009356A7" w:rsidRPr="009356A7" w:rsidRDefault="009356A7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9356A7" w:rsidRDefault="009356A7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9356A7" w:rsidRDefault="009356A7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190AF0" w:rsidRDefault="00190AF0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190AF0" w:rsidRDefault="00190AF0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9356A7">
        <w:rPr>
          <w:rFonts w:ascii="Times New Roman" w:eastAsia="Calibri" w:hAnsi="Times New Roman"/>
          <w:b/>
          <w:szCs w:val="26"/>
          <w:lang w:eastAsia="en-US"/>
        </w:rPr>
        <w:t>Раздел 4. Показатели результативности и эффективности программы профилактики рисков причинения вреда</w:t>
      </w:r>
    </w:p>
    <w:p w:rsidR="009356A7" w:rsidRPr="009356A7" w:rsidRDefault="009356A7" w:rsidP="009356A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356A7" w:rsidRPr="009356A7" w:rsidTr="00C74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9356A7" w:rsidRPr="009356A7" w:rsidTr="00C74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9356A7" w:rsidRPr="009356A7" w:rsidTr="00C74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9356A7" w:rsidRPr="009356A7" w:rsidTr="00C74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7" w:rsidRPr="009356A7" w:rsidRDefault="009356A7" w:rsidP="00935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1 мероприятия, проведенного контрольным органом</w:t>
            </w:r>
          </w:p>
        </w:tc>
      </w:tr>
    </w:tbl>
    <w:p w:rsidR="009356A7" w:rsidRPr="009356A7" w:rsidRDefault="009356A7" w:rsidP="009356A7">
      <w:pPr>
        <w:ind w:firstLine="567"/>
        <w:rPr>
          <w:rFonts w:ascii="Times New Roman" w:hAnsi="Times New Roman"/>
          <w:szCs w:val="26"/>
        </w:rPr>
      </w:pPr>
    </w:p>
    <w:sectPr w:rsidR="009356A7" w:rsidRPr="009356A7" w:rsidSect="00935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1134" w:right="850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F8" w:rsidRDefault="006B19F8">
      <w:r>
        <w:separator/>
      </w:r>
    </w:p>
  </w:endnote>
  <w:endnote w:type="continuationSeparator" w:id="0">
    <w:p w:rsidR="006B19F8" w:rsidRDefault="006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8" w:rsidRDefault="008278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356A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9356A7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9356A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90AF0">
      <w:rPr>
        <w:rFonts w:ascii="Times New Roman" w:hAnsi="Times New Roman"/>
        <w:noProof/>
        <w:snapToGrid w:val="0"/>
        <w:sz w:val="12"/>
        <w:lang w:val="en-US"/>
      </w:rPr>
      <w:t>\\chebs-mfc\soft\sos\dokum\SHAREDEM\POZDR\0192.doc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9356A7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9356A7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356A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9356A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2781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27818">
      <w:rPr>
        <w:rFonts w:ascii="Times New Roman" w:hAnsi="Times New Roman"/>
        <w:noProof/>
        <w:snapToGrid w:val="0"/>
        <w:sz w:val="12"/>
        <w:lang w:val="en-US"/>
      </w:rPr>
      <w:t>6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F8" w:rsidRDefault="006B19F8">
      <w:r>
        <w:separator/>
      </w:r>
    </w:p>
  </w:footnote>
  <w:footnote w:type="continuationSeparator" w:id="0">
    <w:p w:rsidR="006B19F8" w:rsidRDefault="006B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8" w:rsidRDefault="00827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8" w:rsidRDefault="008278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2781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2781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3" w:name="_GoBack"/>
                <w:bookmarkEnd w:id="3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2781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1712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9F8"/>
    <w:rsid w:val="000B2461"/>
    <w:rsid w:val="000D575A"/>
    <w:rsid w:val="000E2583"/>
    <w:rsid w:val="00107F11"/>
    <w:rsid w:val="001460B2"/>
    <w:rsid w:val="0017767D"/>
    <w:rsid w:val="00190AF0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B19F8"/>
    <w:rsid w:val="0070442D"/>
    <w:rsid w:val="007046D2"/>
    <w:rsid w:val="0076051A"/>
    <w:rsid w:val="007F72D9"/>
    <w:rsid w:val="00827818"/>
    <w:rsid w:val="00833D56"/>
    <w:rsid w:val="008E2BE5"/>
    <w:rsid w:val="008F5F8F"/>
    <w:rsid w:val="009356A7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9356A7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uiPriority w:val="99"/>
    <w:locked/>
    <w:rsid w:val="009356A7"/>
    <w:rPr>
      <w:sz w:val="24"/>
      <w:szCs w:val="22"/>
    </w:rPr>
  </w:style>
  <w:style w:type="paragraph" w:customStyle="1" w:styleId="s1">
    <w:name w:val="s_1"/>
    <w:basedOn w:val="a"/>
    <w:rsid w:val="009356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12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Захарова З.З.</dc:creator>
  <cp:keywords/>
  <cp:lastModifiedBy>Чеб -р-н. - Ванюшкина Т.В.</cp:lastModifiedBy>
  <cp:revision>5</cp:revision>
  <cp:lastPrinted>2022-12-16T06:31:00Z</cp:lastPrinted>
  <dcterms:created xsi:type="dcterms:W3CDTF">2022-12-16T06:15:00Z</dcterms:created>
  <dcterms:modified xsi:type="dcterms:W3CDTF">2022-12-20T07:53:00Z</dcterms:modified>
</cp:coreProperties>
</file>