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AC" w:rsidRDefault="00E26EAC" w:rsidP="00400661">
      <w:pPr>
        <w:ind w:left="4678" w:right="-1"/>
        <w:rPr>
          <w:sz w:val="28"/>
        </w:rPr>
      </w:pPr>
      <w:r w:rsidRPr="000F03E1">
        <w:rPr>
          <w:sz w:val="28"/>
        </w:rPr>
        <w:t xml:space="preserve">Приложение </w:t>
      </w:r>
      <w:bookmarkStart w:id="0" w:name="_GoBack"/>
      <w:bookmarkEnd w:id="0"/>
      <w:r>
        <w:rPr>
          <w:sz w:val="28"/>
        </w:rPr>
        <w:t>5</w:t>
      </w:r>
    </w:p>
    <w:p w:rsidR="00E26EAC" w:rsidRDefault="00E26EAC" w:rsidP="00400661">
      <w:pPr>
        <w:ind w:left="4678" w:right="-1"/>
        <w:rPr>
          <w:sz w:val="28"/>
        </w:rPr>
      </w:pPr>
      <w:r>
        <w:rPr>
          <w:sz w:val="28"/>
        </w:rPr>
        <w:t>к бюджету</w:t>
      </w:r>
      <w:r w:rsidR="00564DF8"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города Чебоксары </w:t>
      </w:r>
      <w:r w:rsidR="00564DF8">
        <w:rPr>
          <w:sz w:val="28"/>
        </w:rPr>
        <w:t xml:space="preserve">– столицы Чувашской Республики </w:t>
      </w:r>
      <w:r>
        <w:rPr>
          <w:sz w:val="28"/>
        </w:rPr>
        <w:t xml:space="preserve">на 2023 год и на плановый период 2024 и 2025 годов </w:t>
      </w:r>
    </w:p>
    <w:p w:rsidR="00E26EAC" w:rsidRDefault="00E26EAC" w:rsidP="00E26EAC">
      <w:pPr>
        <w:tabs>
          <w:tab w:val="left" w:pos="10065"/>
        </w:tabs>
        <w:ind w:left="4678" w:right="-1"/>
        <w:rPr>
          <w:sz w:val="28"/>
        </w:rPr>
      </w:pPr>
    </w:p>
    <w:p w:rsidR="00564DF8" w:rsidRDefault="00564DF8" w:rsidP="00E26EAC">
      <w:pPr>
        <w:tabs>
          <w:tab w:val="left" w:pos="10065"/>
        </w:tabs>
        <w:ind w:left="4678" w:right="-1"/>
        <w:rPr>
          <w:sz w:val="28"/>
        </w:rPr>
      </w:pPr>
    </w:p>
    <w:p w:rsidR="00564DF8" w:rsidRDefault="00564DF8" w:rsidP="00E26EAC">
      <w:pPr>
        <w:tabs>
          <w:tab w:val="left" w:pos="10065"/>
        </w:tabs>
        <w:ind w:left="4678" w:right="-1"/>
        <w:rPr>
          <w:sz w:val="28"/>
        </w:rPr>
      </w:pPr>
    </w:p>
    <w:p w:rsidR="00E26EAC" w:rsidRDefault="00E26EAC" w:rsidP="00E26EAC">
      <w:pPr>
        <w:pStyle w:val="6"/>
        <w:spacing w:before="0" w:after="0"/>
        <w:jc w:val="center"/>
        <w:rPr>
          <w:sz w:val="24"/>
        </w:rPr>
      </w:pPr>
      <w:r>
        <w:rPr>
          <w:sz w:val="24"/>
        </w:rPr>
        <w:t>ИСТОЧНИКИ</w:t>
      </w:r>
    </w:p>
    <w:p w:rsidR="00E26EAC" w:rsidRDefault="00E26EAC" w:rsidP="00E26EAC">
      <w:pPr>
        <w:pStyle w:val="6"/>
        <w:spacing w:before="0" w:after="0"/>
        <w:jc w:val="center"/>
        <w:rPr>
          <w:sz w:val="24"/>
        </w:rPr>
      </w:pPr>
      <w:r>
        <w:rPr>
          <w:sz w:val="24"/>
        </w:rPr>
        <w:t>внутреннего финансирования дефицита бюджета</w:t>
      </w:r>
    </w:p>
    <w:p w:rsidR="00E26EAC" w:rsidRDefault="00E26EAC" w:rsidP="00E26EAC">
      <w:pPr>
        <w:pStyle w:val="6"/>
        <w:spacing w:before="0" w:after="0"/>
        <w:jc w:val="center"/>
        <w:rPr>
          <w:sz w:val="24"/>
        </w:rPr>
      </w:pPr>
      <w:r>
        <w:rPr>
          <w:sz w:val="24"/>
        </w:rPr>
        <w:t>города Чебоксары на 2023 год и на плановый период 2024 и 2025 годов</w:t>
      </w:r>
    </w:p>
    <w:p w:rsidR="00E26EAC" w:rsidRPr="00662E05" w:rsidRDefault="00E26EAC" w:rsidP="00E26EAC"/>
    <w:p w:rsidR="00E26EAC" w:rsidRDefault="00564DF8" w:rsidP="00CC4525">
      <w:pPr>
        <w:pStyle w:val="6"/>
        <w:numPr>
          <w:ilvl w:val="0"/>
          <w:numId w:val="1"/>
        </w:numPr>
        <w:spacing w:before="0" w:after="0"/>
        <w:ind w:hanging="436"/>
        <w:jc w:val="center"/>
        <w:rPr>
          <w:sz w:val="24"/>
        </w:rPr>
      </w:pPr>
      <w:r>
        <w:rPr>
          <w:sz w:val="24"/>
        </w:rPr>
        <w:t xml:space="preserve">Источники </w:t>
      </w:r>
      <w:r w:rsidR="00E26EAC">
        <w:rPr>
          <w:sz w:val="24"/>
        </w:rPr>
        <w:t>внутреннего финансирования дефицита бюджета</w:t>
      </w:r>
      <w:r w:rsidR="00CC4525">
        <w:rPr>
          <w:sz w:val="24"/>
        </w:rPr>
        <w:br/>
      </w:r>
      <w:r>
        <w:rPr>
          <w:sz w:val="24"/>
        </w:rPr>
        <w:t xml:space="preserve"> </w:t>
      </w:r>
      <w:r w:rsidR="00E26EAC">
        <w:rPr>
          <w:sz w:val="24"/>
        </w:rPr>
        <w:t>города Чебоксары на 202</w:t>
      </w:r>
      <w:r>
        <w:rPr>
          <w:sz w:val="24"/>
        </w:rPr>
        <w:t>3</w:t>
      </w:r>
      <w:r w:rsidR="00E26EAC">
        <w:rPr>
          <w:sz w:val="24"/>
        </w:rPr>
        <w:t xml:space="preserve"> год</w:t>
      </w:r>
    </w:p>
    <w:p w:rsidR="00564DF8" w:rsidRDefault="00564DF8" w:rsidP="00564DF8">
      <w:pPr>
        <w:pStyle w:val="a3"/>
        <w:tabs>
          <w:tab w:val="clear" w:pos="8306"/>
          <w:tab w:val="right" w:pos="9356"/>
        </w:tabs>
        <w:ind w:left="720" w:right="-568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(тыс. рублей)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418"/>
      </w:tblGrid>
      <w:tr w:rsidR="00CC4525" w:rsidRPr="00CC4525" w:rsidTr="00994486">
        <w:trPr>
          <w:cantSplit/>
          <w:trHeight w:val="423"/>
        </w:trPr>
        <w:tc>
          <w:tcPr>
            <w:tcW w:w="8280" w:type="dxa"/>
            <w:vAlign w:val="center"/>
          </w:tcPr>
          <w:p w:rsidR="00564DF8" w:rsidRPr="00CC4525" w:rsidRDefault="00564DF8" w:rsidP="00CC4525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CC4525">
              <w:rPr>
                <w:rFonts w:ascii="Times New Roman" w:hAnsi="Times New Roman" w:cs="Times New Roman"/>
                <w:b/>
                <w:i w:val="0"/>
                <w:color w:val="auto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564DF8" w:rsidRPr="00CC4525" w:rsidRDefault="00564DF8" w:rsidP="00CC4525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C45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Сумма</w:t>
            </w:r>
          </w:p>
        </w:tc>
      </w:tr>
      <w:tr w:rsidR="00CC4525" w:rsidRPr="00CC4525" w:rsidTr="00994486">
        <w:trPr>
          <w:cantSplit/>
        </w:trPr>
        <w:tc>
          <w:tcPr>
            <w:tcW w:w="8280" w:type="dxa"/>
          </w:tcPr>
          <w:p w:rsidR="00564DF8" w:rsidRPr="00CC4525" w:rsidRDefault="00564DF8" w:rsidP="00CC4525">
            <w:pPr>
              <w:pStyle w:val="6"/>
              <w:spacing w:before="0" w:after="0"/>
              <w:rPr>
                <w:sz w:val="24"/>
                <w:szCs w:val="24"/>
              </w:rPr>
            </w:pPr>
            <w:r w:rsidRPr="00CC4525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18" w:type="dxa"/>
          </w:tcPr>
          <w:p w:rsidR="00564DF8" w:rsidRPr="00CC4525" w:rsidRDefault="004E34BD" w:rsidP="00CC4525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="00CC4525" w:rsidRPr="00CC45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86 134,4</w:t>
            </w:r>
          </w:p>
        </w:tc>
      </w:tr>
      <w:tr w:rsidR="00CC4525" w:rsidRPr="00CC4525" w:rsidTr="00994486">
        <w:trPr>
          <w:cantSplit/>
        </w:trPr>
        <w:tc>
          <w:tcPr>
            <w:tcW w:w="8280" w:type="dxa"/>
          </w:tcPr>
          <w:p w:rsidR="00564DF8" w:rsidRPr="00CC4525" w:rsidRDefault="00564DF8" w:rsidP="00CC4525">
            <w:pPr>
              <w:autoSpaceDE w:val="0"/>
              <w:autoSpaceDN w:val="0"/>
              <w:adjustRightInd w:val="0"/>
              <w:jc w:val="both"/>
            </w:pPr>
            <w:r w:rsidRPr="00CC4525"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564DF8" w:rsidRPr="00CC4525" w:rsidRDefault="00CC4525" w:rsidP="00CC4525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771 134,4</w:t>
            </w:r>
          </w:p>
        </w:tc>
      </w:tr>
      <w:tr w:rsidR="00CC4525" w:rsidRPr="00CC4525" w:rsidTr="00994486">
        <w:trPr>
          <w:cantSplit/>
        </w:trPr>
        <w:tc>
          <w:tcPr>
            <w:tcW w:w="8280" w:type="dxa"/>
          </w:tcPr>
          <w:p w:rsidR="00564DF8" w:rsidRPr="00CC4525" w:rsidRDefault="00564DF8" w:rsidP="00CC4525">
            <w:pPr>
              <w:autoSpaceDE w:val="0"/>
              <w:autoSpaceDN w:val="0"/>
              <w:adjustRightInd w:val="0"/>
              <w:jc w:val="both"/>
            </w:pPr>
            <w:r w:rsidRPr="00CC4525">
              <w:t>Разница между привлеченными и погашенными в валюте Российской Федерации бюджетными кредитами, предоставленными другими бюджетами бюджетной системы Российской Федерации</w:t>
            </w:r>
          </w:p>
        </w:tc>
        <w:tc>
          <w:tcPr>
            <w:tcW w:w="1418" w:type="dxa"/>
          </w:tcPr>
          <w:p w:rsidR="00564DF8" w:rsidRPr="00CC4525" w:rsidRDefault="00CC4525" w:rsidP="00CC4525">
            <w:pPr>
              <w:jc w:val="right"/>
            </w:pPr>
            <w:r>
              <w:t>- 385 000,0</w:t>
            </w:r>
          </w:p>
        </w:tc>
      </w:tr>
      <w:tr w:rsidR="004E34BD" w:rsidRPr="00CC4525" w:rsidTr="00994486">
        <w:trPr>
          <w:cantSplit/>
        </w:trPr>
        <w:tc>
          <w:tcPr>
            <w:tcW w:w="8280" w:type="dxa"/>
          </w:tcPr>
          <w:p w:rsidR="004E34BD" w:rsidRPr="00CC4525" w:rsidRDefault="004E34BD" w:rsidP="004E34BD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8" w:type="dxa"/>
          </w:tcPr>
          <w:p w:rsidR="004E34BD" w:rsidRDefault="004E34BD" w:rsidP="00CC4525">
            <w:pPr>
              <w:jc w:val="right"/>
            </w:pPr>
            <w:r>
              <w:t>200 000,0</w:t>
            </w:r>
          </w:p>
        </w:tc>
      </w:tr>
    </w:tbl>
    <w:p w:rsidR="00CC4525" w:rsidRDefault="00CC4525" w:rsidP="00CC4525"/>
    <w:p w:rsidR="00CC4525" w:rsidRDefault="00CC4525" w:rsidP="00CC4525"/>
    <w:p w:rsidR="00CC4525" w:rsidRPr="00662E05" w:rsidRDefault="00CC4525" w:rsidP="00CC4525"/>
    <w:p w:rsidR="00CC4525" w:rsidRDefault="00CC4525" w:rsidP="00CC4525">
      <w:pPr>
        <w:pStyle w:val="6"/>
        <w:numPr>
          <w:ilvl w:val="0"/>
          <w:numId w:val="1"/>
        </w:numPr>
        <w:spacing w:before="0" w:after="0"/>
        <w:jc w:val="center"/>
        <w:rPr>
          <w:sz w:val="24"/>
        </w:rPr>
      </w:pPr>
      <w:r>
        <w:rPr>
          <w:sz w:val="24"/>
        </w:rPr>
        <w:t>Источники внутреннего финансирования дефицита бюджета</w:t>
      </w:r>
      <w:r>
        <w:rPr>
          <w:sz w:val="24"/>
        </w:rPr>
        <w:br/>
        <w:t xml:space="preserve"> города Чебоксары на 2024 и 2025 годы</w:t>
      </w:r>
    </w:p>
    <w:p w:rsidR="00CC4525" w:rsidRDefault="00CC4525" w:rsidP="00CC4525">
      <w:pPr>
        <w:pStyle w:val="a3"/>
        <w:jc w:val="right"/>
        <w:rPr>
          <w:sz w:val="24"/>
        </w:rPr>
      </w:pPr>
    </w:p>
    <w:p w:rsidR="00CC4525" w:rsidRDefault="00CC4525" w:rsidP="00CC4525">
      <w:pPr>
        <w:pStyle w:val="a3"/>
        <w:jc w:val="right"/>
        <w:rPr>
          <w:sz w:val="24"/>
        </w:rPr>
      </w:pPr>
      <w:r>
        <w:rPr>
          <w:sz w:val="24"/>
        </w:rPr>
        <w:t xml:space="preserve">  (тыс. рублей)</w:t>
      </w: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627"/>
        <w:gridCol w:w="1559"/>
      </w:tblGrid>
      <w:tr w:rsidR="00CC4525" w:rsidRPr="00BA2C97" w:rsidTr="00994486">
        <w:trPr>
          <w:cantSplit/>
        </w:trPr>
        <w:tc>
          <w:tcPr>
            <w:tcW w:w="6408" w:type="dxa"/>
            <w:vMerge w:val="restart"/>
          </w:tcPr>
          <w:p w:rsidR="00CC4525" w:rsidRPr="00BA2C97" w:rsidRDefault="00CC4525" w:rsidP="00994486">
            <w:pPr>
              <w:keepNext/>
              <w:ind w:left="-391" w:firstLine="142"/>
              <w:jc w:val="center"/>
              <w:outlineLvl w:val="6"/>
              <w:rPr>
                <w:b/>
                <w:noProof/>
                <w:sz w:val="22"/>
                <w:szCs w:val="16"/>
              </w:rPr>
            </w:pPr>
          </w:p>
          <w:p w:rsidR="00CC4525" w:rsidRPr="00BA2C97" w:rsidRDefault="00CC4525" w:rsidP="00994486">
            <w:pPr>
              <w:keepNext/>
              <w:ind w:left="-391" w:firstLine="142"/>
              <w:jc w:val="center"/>
              <w:outlineLvl w:val="6"/>
              <w:rPr>
                <w:b/>
                <w:noProof/>
                <w:sz w:val="22"/>
              </w:rPr>
            </w:pPr>
            <w:r w:rsidRPr="00BA2C97">
              <w:rPr>
                <w:b/>
                <w:noProof/>
                <w:sz w:val="22"/>
              </w:rPr>
              <w:t>Наименование</w:t>
            </w:r>
          </w:p>
        </w:tc>
        <w:tc>
          <w:tcPr>
            <w:tcW w:w="3186" w:type="dxa"/>
            <w:gridSpan w:val="2"/>
          </w:tcPr>
          <w:p w:rsidR="00CC4525" w:rsidRPr="00BA2C97" w:rsidRDefault="00CC4525" w:rsidP="00994486">
            <w:pPr>
              <w:keepNext/>
              <w:jc w:val="center"/>
              <w:outlineLvl w:val="0"/>
              <w:rPr>
                <w:b/>
                <w:bCs/>
                <w:sz w:val="22"/>
              </w:rPr>
            </w:pPr>
            <w:r w:rsidRPr="00BA2C97">
              <w:rPr>
                <w:b/>
                <w:bCs/>
                <w:sz w:val="22"/>
              </w:rPr>
              <w:t>Сумма</w:t>
            </w:r>
          </w:p>
        </w:tc>
      </w:tr>
      <w:tr w:rsidR="00CC4525" w:rsidRPr="00BA2C97" w:rsidTr="00994486">
        <w:trPr>
          <w:cantSplit/>
          <w:trHeight w:val="380"/>
        </w:trPr>
        <w:tc>
          <w:tcPr>
            <w:tcW w:w="6408" w:type="dxa"/>
            <w:vMerge/>
          </w:tcPr>
          <w:p w:rsidR="00CC4525" w:rsidRPr="00BA2C97" w:rsidRDefault="00CC4525" w:rsidP="00994486">
            <w:pPr>
              <w:keepNext/>
              <w:ind w:left="-391" w:firstLine="142"/>
              <w:jc w:val="center"/>
              <w:outlineLvl w:val="6"/>
              <w:rPr>
                <w:b/>
                <w:noProof/>
                <w:sz w:val="22"/>
              </w:rPr>
            </w:pPr>
          </w:p>
        </w:tc>
        <w:tc>
          <w:tcPr>
            <w:tcW w:w="1627" w:type="dxa"/>
          </w:tcPr>
          <w:p w:rsidR="00CC4525" w:rsidRPr="00BA2C97" w:rsidRDefault="00CC4525" w:rsidP="00994486">
            <w:pPr>
              <w:keepNext/>
              <w:jc w:val="center"/>
              <w:outlineLvl w:val="0"/>
              <w:rPr>
                <w:b/>
                <w:bCs/>
                <w:sz w:val="22"/>
              </w:rPr>
            </w:pPr>
            <w:r w:rsidRPr="00BA2C97">
              <w:rPr>
                <w:b/>
                <w:bCs/>
                <w:sz w:val="22"/>
              </w:rPr>
              <w:t>202</w:t>
            </w:r>
            <w:r>
              <w:rPr>
                <w:b/>
                <w:bCs/>
                <w:sz w:val="22"/>
              </w:rPr>
              <w:t>3</w:t>
            </w:r>
            <w:r w:rsidRPr="00BA2C97">
              <w:rPr>
                <w:b/>
                <w:bCs/>
                <w:sz w:val="22"/>
              </w:rPr>
              <w:t xml:space="preserve"> год</w:t>
            </w:r>
          </w:p>
        </w:tc>
        <w:tc>
          <w:tcPr>
            <w:tcW w:w="1559" w:type="dxa"/>
          </w:tcPr>
          <w:p w:rsidR="00CC4525" w:rsidRPr="00BA2C97" w:rsidRDefault="00CC4525" w:rsidP="00994486">
            <w:pPr>
              <w:keepNext/>
              <w:jc w:val="center"/>
              <w:outlineLvl w:val="0"/>
              <w:rPr>
                <w:b/>
                <w:bCs/>
                <w:sz w:val="22"/>
              </w:rPr>
            </w:pPr>
            <w:r w:rsidRPr="00BA2C97">
              <w:rPr>
                <w:b/>
                <w:bCs/>
                <w:sz w:val="22"/>
              </w:rPr>
              <w:t>202</w:t>
            </w:r>
            <w:r>
              <w:rPr>
                <w:b/>
                <w:bCs/>
                <w:sz w:val="22"/>
              </w:rPr>
              <w:t>4</w:t>
            </w:r>
            <w:r w:rsidRPr="00BA2C97">
              <w:rPr>
                <w:b/>
                <w:bCs/>
                <w:sz w:val="22"/>
              </w:rPr>
              <w:t xml:space="preserve"> год</w:t>
            </w:r>
          </w:p>
        </w:tc>
      </w:tr>
      <w:tr w:rsidR="00CC4525" w:rsidRPr="00BA2C97" w:rsidTr="00994486">
        <w:trPr>
          <w:cantSplit/>
          <w:trHeight w:val="383"/>
        </w:trPr>
        <w:tc>
          <w:tcPr>
            <w:tcW w:w="6408" w:type="dxa"/>
          </w:tcPr>
          <w:p w:rsidR="00CC4525" w:rsidRPr="00BA2C97" w:rsidRDefault="00CC4525" w:rsidP="00994486">
            <w:pPr>
              <w:keepNext/>
              <w:outlineLvl w:val="6"/>
              <w:rPr>
                <w:b/>
                <w:noProof/>
                <w:sz w:val="22"/>
              </w:rPr>
            </w:pPr>
            <w:r w:rsidRPr="00BA2C97">
              <w:rPr>
                <w:b/>
                <w:noProof/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1627" w:type="dxa"/>
          </w:tcPr>
          <w:p w:rsidR="00CC4525" w:rsidRPr="00BA2C97" w:rsidRDefault="003F553E" w:rsidP="0099448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62 887,5</w:t>
            </w:r>
          </w:p>
        </w:tc>
        <w:tc>
          <w:tcPr>
            <w:tcW w:w="1559" w:type="dxa"/>
          </w:tcPr>
          <w:p w:rsidR="00CC4525" w:rsidRPr="00BA2C97" w:rsidRDefault="003F553E" w:rsidP="0099448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-51 845,5</w:t>
            </w:r>
          </w:p>
        </w:tc>
      </w:tr>
      <w:tr w:rsidR="00CC4525" w:rsidRPr="00BA2C97" w:rsidTr="00994486">
        <w:trPr>
          <w:cantSplit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BA2C97" w:rsidRDefault="00CC4525" w:rsidP="00994486">
            <w:pPr>
              <w:jc w:val="both"/>
              <w:rPr>
                <w:sz w:val="22"/>
              </w:rPr>
            </w:pPr>
            <w:r w:rsidRPr="00BA2C97">
              <w:rPr>
                <w:sz w:val="22"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BA2C97" w:rsidRDefault="003F553E" w:rsidP="00994486">
            <w:pPr>
              <w:jc w:val="right"/>
              <w:rPr>
                <w:sz w:val="22"/>
              </w:rPr>
            </w:pPr>
            <w:r>
              <w:rPr>
                <w:sz w:val="22"/>
              </w:rPr>
              <w:t>412 887,5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BA2C97" w:rsidRDefault="003F553E" w:rsidP="00994486">
            <w:pPr>
              <w:jc w:val="right"/>
              <w:rPr>
                <w:sz w:val="22"/>
              </w:rPr>
            </w:pPr>
            <w:r>
              <w:rPr>
                <w:sz w:val="22"/>
              </w:rPr>
              <w:t>320 821,2</w:t>
            </w:r>
          </w:p>
        </w:tc>
      </w:tr>
      <w:tr w:rsidR="00CC4525" w:rsidRPr="00BA2C97" w:rsidTr="00994486">
        <w:trPr>
          <w:cantSplit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BA2C97" w:rsidRDefault="00CC4525" w:rsidP="00994486">
            <w:pPr>
              <w:jc w:val="both"/>
              <w:rPr>
                <w:sz w:val="22"/>
              </w:rPr>
            </w:pPr>
            <w:r w:rsidRPr="00BA2C97">
              <w:rPr>
                <w:sz w:val="22"/>
              </w:rPr>
              <w:t>Разница между привлеченными и погашенными в валюте Российской Федерации бюджетными кредитами, предоставленными другими бюджетами бюджетной системы Российской Федерации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BA2C97" w:rsidRDefault="003F553E" w:rsidP="00994486">
            <w:pPr>
              <w:jc w:val="right"/>
              <w:rPr>
                <w:sz w:val="22"/>
              </w:rPr>
            </w:pPr>
            <w:r>
              <w:rPr>
                <w:sz w:val="22"/>
              </w:rPr>
              <w:t>- 350 000,0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25" w:rsidRPr="00BA2C97" w:rsidRDefault="003F553E" w:rsidP="00994486">
            <w:pPr>
              <w:jc w:val="right"/>
              <w:rPr>
                <w:sz w:val="22"/>
              </w:rPr>
            </w:pPr>
            <w:r>
              <w:rPr>
                <w:sz w:val="22"/>
              </w:rPr>
              <w:t>- 372 666,7</w:t>
            </w:r>
          </w:p>
        </w:tc>
      </w:tr>
    </w:tbl>
    <w:p w:rsidR="00CC4525" w:rsidRDefault="00CC4525" w:rsidP="00CC4525">
      <w:pPr>
        <w:pStyle w:val="a3"/>
        <w:jc w:val="right"/>
        <w:rPr>
          <w:sz w:val="24"/>
        </w:rPr>
      </w:pPr>
    </w:p>
    <w:p w:rsidR="00591F65" w:rsidRDefault="00591F65"/>
    <w:sectPr w:rsidR="00591F65" w:rsidSect="00CC45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39EC"/>
    <w:multiLevelType w:val="hybridMultilevel"/>
    <w:tmpl w:val="DC18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12A94"/>
    <w:multiLevelType w:val="hybridMultilevel"/>
    <w:tmpl w:val="DC18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AC"/>
    <w:rsid w:val="003F553E"/>
    <w:rsid w:val="00400661"/>
    <w:rsid w:val="004E34BD"/>
    <w:rsid w:val="00564DF8"/>
    <w:rsid w:val="00591F65"/>
    <w:rsid w:val="00CC4525"/>
    <w:rsid w:val="00DA3666"/>
    <w:rsid w:val="00E26EAC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4D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26E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26EA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4D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64D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564DF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D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4D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26E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26EA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4D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64D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564DF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D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Анжелика Львовна</dc:creator>
  <cp:keywords/>
  <dc:description/>
  <cp:lastModifiedBy>finup33</cp:lastModifiedBy>
  <cp:revision>3</cp:revision>
  <dcterms:created xsi:type="dcterms:W3CDTF">2022-11-10T12:52:00Z</dcterms:created>
  <dcterms:modified xsi:type="dcterms:W3CDTF">2022-11-14T11:12:00Z</dcterms:modified>
</cp:coreProperties>
</file>