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29" w:rsidRDefault="00FB4565" w:rsidP="00DB784F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3C0DB4">
        <w:rPr>
          <w:b/>
          <w:bCs/>
          <w:sz w:val="28"/>
          <w:szCs w:val="28"/>
        </w:rPr>
        <w:t>Основные направления</w:t>
      </w:r>
    </w:p>
    <w:p w:rsidR="00284729" w:rsidRDefault="00FB4565" w:rsidP="00DB784F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3C0DB4">
        <w:rPr>
          <w:b/>
          <w:bCs/>
          <w:sz w:val="28"/>
          <w:szCs w:val="28"/>
        </w:rPr>
        <w:t xml:space="preserve">бюджетной </w:t>
      </w:r>
      <w:r w:rsidR="00AD04E2">
        <w:rPr>
          <w:b/>
          <w:bCs/>
          <w:sz w:val="28"/>
          <w:szCs w:val="28"/>
        </w:rPr>
        <w:t>и</w:t>
      </w:r>
      <w:r w:rsidRPr="003C0DB4">
        <w:rPr>
          <w:b/>
          <w:bCs/>
          <w:sz w:val="28"/>
          <w:szCs w:val="28"/>
        </w:rPr>
        <w:t xml:space="preserve"> налоговой политики </w:t>
      </w:r>
      <w:r w:rsidR="003E609C">
        <w:rPr>
          <w:b/>
          <w:bCs/>
          <w:sz w:val="28"/>
          <w:szCs w:val="28"/>
        </w:rPr>
        <w:t>города Чебоксары</w:t>
      </w:r>
    </w:p>
    <w:p w:rsidR="00066497" w:rsidRDefault="00FB4565" w:rsidP="00DB784F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3C0DB4">
        <w:rPr>
          <w:b/>
          <w:bCs/>
          <w:sz w:val="28"/>
          <w:szCs w:val="28"/>
        </w:rPr>
        <w:t>на 202</w:t>
      </w:r>
      <w:r w:rsidR="007C2B56">
        <w:rPr>
          <w:b/>
          <w:bCs/>
          <w:sz w:val="28"/>
          <w:szCs w:val="28"/>
        </w:rPr>
        <w:t>3</w:t>
      </w:r>
      <w:r w:rsidRPr="003C0DB4">
        <w:rPr>
          <w:b/>
          <w:bCs/>
          <w:sz w:val="28"/>
          <w:szCs w:val="28"/>
        </w:rPr>
        <w:t xml:space="preserve"> год и на плановый период 202</w:t>
      </w:r>
      <w:r w:rsidR="007C2B56">
        <w:rPr>
          <w:b/>
          <w:bCs/>
          <w:sz w:val="28"/>
          <w:szCs w:val="28"/>
        </w:rPr>
        <w:t>4 и 2025</w:t>
      </w:r>
      <w:r w:rsidRPr="003C0DB4">
        <w:rPr>
          <w:b/>
          <w:bCs/>
          <w:sz w:val="28"/>
          <w:szCs w:val="28"/>
        </w:rPr>
        <w:t xml:space="preserve"> годов</w:t>
      </w:r>
    </w:p>
    <w:p w:rsidR="00DB784F" w:rsidRPr="003C0DB4" w:rsidRDefault="00DB784F" w:rsidP="00DB784F">
      <w:pPr>
        <w:pStyle w:val="1"/>
        <w:shd w:val="clear" w:color="auto" w:fill="auto"/>
        <w:spacing w:line="254" w:lineRule="auto"/>
        <w:ind w:firstLine="0"/>
        <w:jc w:val="center"/>
        <w:rPr>
          <w:sz w:val="28"/>
          <w:szCs w:val="28"/>
        </w:rPr>
      </w:pPr>
    </w:p>
    <w:p w:rsidR="00A06574" w:rsidRPr="009E6024" w:rsidRDefault="00D03009" w:rsidP="00A06574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proofErr w:type="gramStart"/>
      <w:r w:rsidRPr="009B5BC8">
        <w:rPr>
          <w:sz w:val="28"/>
          <w:szCs w:val="28"/>
        </w:rPr>
        <w:t xml:space="preserve">Основные направления бюджетной и налоговой политики города Чебоксары на 2023 год и на плановый период 2024 и 2025 годов (далее – Основные направления бюджетной и налоговой политики) разработаны целях составления проекта бюджета города Чебоксары на 2023 год и на плановый период 2024 и 2025 годов в соответствии со статьями 172 и 184.2 Бюджетного кодекса Российской Федерации, </w:t>
      </w:r>
      <w:r w:rsidRPr="00AB41E6">
        <w:rPr>
          <w:color w:val="auto"/>
          <w:sz w:val="28"/>
          <w:szCs w:val="28"/>
        </w:rPr>
        <w:t>Положени</w:t>
      </w:r>
      <w:r w:rsidR="00AB41E6" w:rsidRPr="00AB41E6">
        <w:rPr>
          <w:color w:val="auto"/>
          <w:sz w:val="28"/>
          <w:szCs w:val="28"/>
        </w:rPr>
        <w:t>ем</w:t>
      </w:r>
      <w:r w:rsidRPr="00AB41E6">
        <w:rPr>
          <w:color w:val="auto"/>
          <w:sz w:val="28"/>
          <w:szCs w:val="28"/>
        </w:rPr>
        <w:t xml:space="preserve"> о бюджетных правоотношениях в</w:t>
      </w:r>
      <w:proofErr w:type="gramEnd"/>
      <w:r w:rsidRPr="00AB41E6">
        <w:rPr>
          <w:color w:val="auto"/>
          <w:sz w:val="28"/>
          <w:szCs w:val="28"/>
        </w:rPr>
        <w:t xml:space="preserve"> муниципальном </w:t>
      </w:r>
      <w:proofErr w:type="gramStart"/>
      <w:r w:rsidRPr="00AB41E6">
        <w:rPr>
          <w:color w:val="auto"/>
          <w:sz w:val="28"/>
          <w:szCs w:val="28"/>
        </w:rPr>
        <w:t>образовании</w:t>
      </w:r>
      <w:proofErr w:type="gramEnd"/>
      <w:r w:rsidRPr="00AB41E6">
        <w:rPr>
          <w:color w:val="auto"/>
          <w:sz w:val="28"/>
          <w:szCs w:val="28"/>
        </w:rPr>
        <w:t xml:space="preserve"> городе Чебоксары, утвержденн</w:t>
      </w:r>
      <w:r w:rsidR="00AB41E6" w:rsidRPr="00AB41E6">
        <w:rPr>
          <w:color w:val="auto"/>
          <w:sz w:val="28"/>
          <w:szCs w:val="28"/>
        </w:rPr>
        <w:t>ым</w:t>
      </w:r>
      <w:r w:rsidRPr="00AB41E6">
        <w:rPr>
          <w:color w:val="auto"/>
          <w:sz w:val="28"/>
          <w:szCs w:val="28"/>
        </w:rPr>
        <w:t xml:space="preserve"> решением </w:t>
      </w:r>
      <w:r w:rsidRPr="009E6024">
        <w:rPr>
          <w:color w:val="auto"/>
          <w:sz w:val="28"/>
          <w:szCs w:val="28"/>
        </w:rPr>
        <w:t>Чебоксарского городского Собра</w:t>
      </w:r>
      <w:r w:rsidR="00AB41E6" w:rsidRPr="009E6024">
        <w:rPr>
          <w:color w:val="auto"/>
          <w:sz w:val="28"/>
          <w:szCs w:val="28"/>
        </w:rPr>
        <w:t xml:space="preserve">ния депутатов </w:t>
      </w:r>
      <w:r w:rsidRPr="009E6024">
        <w:rPr>
          <w:color w:val="auto"/>
          <w:sz w:val="28"/>
          <w:szCs w:val="28"/>
        </w:rPr>
        <w:t>от 22 мая 2008 г. № 1011</w:t>
      </w:r>
      <w:r w:rsidR="00A06574" w:rsidRPr="009E6024">
        <w:rPr>
          <w:color w:val="auto"/>
          <w:sz w:val="28"/>
          <w:szCs w:val="28"/>
        </w:rPr>
        <w:t>,                   с учетом положений основных направлений бюджетной и налоговой политики Чувашской Республики на</w:t>
      </w:r>
      <w:r w:rsidR="00A06574" w:rsidRPr="009E6024">
        <w:rPr>
          <w:bCs/>
          <w:sz w:val="28"/>
          <w:szCs w:val="28"/>
        </w:rPr>
        <w:t xml:space="preserve"> 2023 год и на плановый период 2024 и 2025 годов.</w:t>
      </w:r>
    </w:p>
    <w:p w:rsidR="00197AE0" w:rsidRPr="009B5BC8" w:rsidRDefault="00197AE0" w:rsidP="00197AE0">
      <w:pPr>
        <w:pStyle w:val="1"/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9E6024">
        <w:rPr>
          <w:sz w:val="28"/>
          <w:szCs w:val="28"/>
        </w:rPr>
        <w:t>Основные направления бюджетной и налоговой политики</w:t>
      </w:r>
      <w:r w:rsidRPr="009B5BC8">
        <w:rPr>
          <w:sz w:val="28"/>
          <w:szCs w:val="28"/>
        </w:rPr>
        <w:t xml:space="preserve"> </w:t>
      </w:r>
      <w:r w:rsidR="008B025D" w:rsidRPr="009B5BC8">
        <w:rPr>
          <w:sz w:val="28"/>
          <w:szCs w:val="28"/>
        </w:rPr>
        <w:t xml:space="preserve">                                        </w:t>
      </w:r>
      <w:r w:rsidRPr="009B5BC8">
        <w:rPr>
          <w:sz w:val="28"/>
          <w:szCs w:val="28"/>
        </w:rPr>
        <w:t xml:space="preserve">на среднесрочную перспективу сохраняют преемственность бюджетной и налоговой политики 2022–2024 годов, </w:t>
      </w:r>
      <w:r w:rsidR="001E3C24" w:rsidRPr="009B5BC8">
        <w:rPr>
          <w:color w:val="auto"/>
          <w:sz w:val="28"/>
          <w:szCs w:val="28"/>
        </w:rPr>
        <w:t>определенных указами Президента Российской Федерации от 7 мая 2018 г. № 204 «</w:t>
      </w:r>
      <w:r w:rsidR="001E3C24" w:rsidRPr="009B5BC8">
        <w:rPr>
          <w:rFonts w:eastAsia="Calibri"/>
          <w:color w:val="auto"/>
          <w:sz w:val="28"/>
          <w:szCs w:val="28"/>
        </w:rPr>
        <w:t>О национальных целях и стратегических задачах развития Российской Федерации на период до 2024 года»</w:t>
      </w:r>
      <w:r w:rsidR="001E3C24" w:rsidRPr="009B5BC8">
        <w:rPr>
          <w:color w:val="auto"/>
          <w:sz w:val="28"/>
          <w:szCs w:val="28"/>
        </w:rPr>
        <w:t xml:space="preserve">, </w:t>
      </w:r>
      <w:r w:rsidR="001E3C24" w:rsidRPr="009B5BC8">
        <w:rPr>
          <w:rFonts w:eastAsia="Calibri"/>
          <w:color w:val="auto"/>
          <w:sz w:val="28"/>
          <w:szCs w:val="28"/>
        </w:rPr>
        <w:t xml:space="preserve">от 21 июля 2020 г. № 474 «О национальных целях развития Российской Федерации на период до 2030 год», </w:t>
      </w:r>
      <w:r w:rsidRPr="009B5BC8">
        <w:rPr>
          <w:sz w:val="28"/>
          <w:szCs w:val="28"/>
          <w:shd w:val="clear" w:color="auto" w:fill="FFFFFF" w:themeFill="background1"/>
        </w:rPr>
        <w:t>Стратегией</w:t>
      </w:r>
      <w:proofErr w:type="gramEnd"/>
      <w:r w:rsidRPr="009B5BC8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9B5BC8">
        <w:rPr>
          <w:sz w:val="28"/>
          <w:szCs w:val="28"/>
          <w:shd w:val="clear" w:color="auto" w:fill="FFFFFF" w:themeFill="background1"/>
        </w:rPr>
        <w:t xml:space="preserve">социально-экономического развития Чувашской Республики до 2035 года, утвержденной Законом Чувашской Республики от 26 ноября 2020 г. № 102, индивидуальной программой социально-экономического развития Чувашской Республики </w:t>
      </w:r>
      <w:r w:rsidR="00C57345" w:rsidRPr="009B5BC8">
        <w:rPr>
          <w:sz w:val="28"/>
          <w:szCs w:val="28"/>
          <w:shd w:val="clear" w:color="auto" w:fill="FFFFFF" w:themeFill="background1"/>
        </w:rPr>
        <w:t xml:space="preserve">              на 2020</w:t>
      </w:r>
      <w:r w:rsidR="00C57345" w:rsidRPr="009B5BC8">
        <w:rPr>
          <w:sz w:val="28"/>
          <w:szCs w:val="28"/>
        </w:rPr>
        <w:t>–</w:t>
      </w:r>
      <w:r w:rsidRPr="009B5BC8">
        <w:rPr>
          <w:sz w:val="28"/>
          <w:szCs w:val="28"/>
          <w:shd w:val="clear" w:color="auto" w:fill="FFFFFF" w:themeFill="background1"/>
        </w:rPr>
        <w:t xml:space="preserve">2024 годы, утвержденной распоряжением Правительства </w:t>
      </w:r>
      <w:r w:rsidR="00C57345" w:rsidRPr="009B5BC8">
        <w:rPr>
          <w:sz w:val="28"/>
          <w:szCs w:val="28"/>
          <w:shd w:val="clear" w:color="auto" w:fill="FFFFFF" w:themeFill="background1"/>
        </w:rPr>
        <w:t xml:space="preserve">           </w:t>
      </w:r>
      <w:r w:rsidRPr="009B5BC8">
        <w:rPr>
          <w:sz w:val="28"/>
          <w:szCs w:val="28"/>
          <w:shd w:val="clear" w:color="auto" w:fill="FFFFFF" w:themeFill="background1"/>
        </w:rPr>
        <w:t>Российской Федерации от 3 апреля 2020 г. № 865-р, Стратег</w:t>
      </w:r>
      <w:r w:rsidRPr="009B5BC8">
        <w:rPr>
          <w:sz w:val="28"/>
          <w:szCs w:val="28"/>
        </w:rPr>
        <w:t xml:space="preserve">ией социально-экономического развития города Чебоксары до 2035 года, утвержденной </w:t>
      </w:r>
      <w:r w:rsidRPr="009B5BC8">
        <w:rPr>
          <w:color w:val="auto"/>
          <w:sz w:val="28"/>
          <w:szCs w:val="28"/>
        </w:rPr>
        <w:t xml:space="preserve">решением Чебоксарского городского Собрания депутатов </w:t>
      </w:r>
      <w:r w:rsidR="008B025D" w:rsidRPr="009B5BC8">
        <w:rPr>
          <w:color w:val="auto"/>
          <w:sz w:val="28"/>
          <w:szCs w:val="28"/>
        </w:rPr>
        <w:t xml:space="preserve">            </w:t>
      </w:r>
      <w:r w:rsidRPr="009B5BC8">
        <w:rPr>
          <w:color w:val="auto"/>
          <w:sz w:val="28"/>
          <w:szCs w:val="28"/>
        </w:rPr>
        <w:t xml:space="preserve">от </w:t>
      </w:r>
      <w:r w:rsidRPr="009B5BC8">
        <w:rPr>
          <w:sz w:val="28"/>
          <w:szCs w:val="28"/>
        </w:rPr>
        <w:t>24 декабря 2020 г. № 97.</w:t>
      </w:r>
      <w:proofErr w:type="gramEnd"/>
    </w:p>
    <w:p w:rsidR="00FF7977" w:rsidRPr="009B5BC8" w:rsidRDefault="00FF7977" w:rsidP="00C94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C8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бюджетной</w:t>
      </w:r>
      <w:r w:rsidRPr="009B5BC8">
        <w:rPr>
          <w:rFonts w:ascii="Times New Roman" w:hAnsi="Times New Roman" w:cs="Times New Roman"/>
          <w:sz w:val="28"/>
          <w:szCs w:val="28"/>
        </w:rPr>
        <w:t xml:space="preserve"> и налоговой политики сформированы в действующей экономической ситуации, сложившейся в условиях внешнего </w:t>
      </w:r>
      <w:proofErr w:type="spellStart"/>
      <w:r w:rsidRPr="009B5BC8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9B5BC8">
        <w:rPr>
          <w:rFonts w:ascii="Times New Roman" w:hAnsi="Times New Roman" w:cs="Times New Roman"/>
          <w:sz w:val="28"/>
          <w:szCs w:val="28"/>
        </w:rPr>
        <w:t xml:space="preserve"> давления и преодоления последствий распространения новой </w:t>
      </w:r>
      <w:proofErr w:type="spellStart"/>
      <w:r w:rsidRPr="009B5B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B5BC8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74BEC" w:rsidRPr="009B5BC8" w:rsidRDefault="00C74BEC" w:rsidP="00C74BEC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Формирование доходов и расходов бюджета города Чебоксары </w:t>
      </w:r>
      <w:r w:rsidR="00BA695F" w:rsidRPr="009B5BC8">
        <w:rPr>
          <w:rFonts w:ascii="Times New Roman" w:eastAsia="Calibri" w:hAnsi="Times New Roman"/>
          <w:sz w:val="28"/>
          <w:szCs w:val="28"/>
        </w:rPr>
        <w:t>осуществлялось</w:t>
      </w:r>
      <w:r w:rsidRPr="009B5BC8">
        <w:rPr>
          <w:rFonts w:ascii="Times New Roman" w:eastAsia="Calibri" w:hAnsi="Times New Roman"/>
          <w:sz w:val="28"/>
          <w:szCs w:val="28"/>
        </w:rPr>
        <w:t xml:space="preserve"> на основ</w:t>
      </w:r>
      <w:r w:rsidR="00454D04" w:rsidRPr="009B5BC8">
        <w:rPr>
          <w:rFonts w:ascii="Times New Roman" w:eastAsia="Calibri" w:hAnsi="Times New Roman"/>
          <w:sz w:val="28"/>
          <w:szCs w:val="28"/>
        </w:rPr>
        <w:t>е</w:t>
      </w:r>
      <w:r w:rsidRPr="009B5BC8">
        <w:rPr>
          <w:rFonts w:ascii="Times New Roman" w:eastAsia="Calibri" w:hAnsi="Times New Roman"/>
          <w:sz w:val="28"/>
          <w:szCs w:val="28"/>
        </w:rPr>
        <w:t xml:space="preserve"> прогноза социально-экономического развития</w:t>
      </w:r>
      <w:r w:rsidR="00225A0D" w:rsidRPr="009B5BC8">
        <w:rPr>
          <w:rFonts w:ascii="Times New Roman" w:eastAsia="Calibri" w:hAnsi="Times New Roman"/>
          <w:sz w:val="28"/>
          <w:szCs w:val="28"/>
        </w:rPr>
        <w:t xml:space="preserve"> города Чебоксары на 2023–2025 </w:t>
      </w:r>
      <w:r w:rsidR="006F31F1" w:rsidRPr="009B5BC8">
        <w:rPr>
          <w:rFonts w:ascii="Times New Roman" w:eastAsia="Calibri" w:hAnsi="Times New Roman"/>
          <w:sz w:val="28"/>
          <w:szCs w:val="28"/>
        </w:rPr>
        <w:t>г</w:t>
      </w:r>
      <w:r w:rsidR="008762FC" w:rsidRPr="009B5BC8">
        <w:rPr>
          <w:rFonts w:ascii="Times New Roman" w:eastAsia="Calibri" w:hAnsi="Times New Roman"/>
          <w:sz w:val="28"/>
          <w:szCs w:val="28"/>
        </w:rPr>
        <w:t>оды</w:t>
      </w:r>
      <w:r w:rsidR="006F31F1" w:rsidRPr="009B5BC8">
        <w:rPr>
          <w:rFonts w:ascii="Times New Roman" w:eastAsia="Calibri" w:hAnsi="Times New Roman"/>
          <w:sz w:val="28"/>
          <w:szCs w:val="28"/>
        </w:rPr>
        <w:t>.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Бюджетная и налоговая политика </w:t>
      </w:r>
      <w:r w:rsidR="00CE0331" w:rsidRPr="009B5BC8">
        <w:rPr>
          <w:rFonts w:ascii="Times New Roman" w:eastAsia="Calibri" w:hAnsi="Times New Roman" w:cs="Times New Roman"/>
          <w:sz w:val="28"/>
          <w:szCs w:val="28"/>
        </w:rPr>
        <w:t>города Чебоксары</w:t>
      </w: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9155F" w:rsidRPr="009B5BC8">
        <w:rPr>
          <w:rFonts w:ascii="Times New Roman" w:hAnsi="Times New Roman" w:cs="Times New Roman"/>
          <w:sz w:val="28"/>
          <w:szCs w:val="28"/>
        </w:rPr>
        <w:t xml:space="preserve">2023–2025 </w:t>
      </w:r>
      <w:r w:rsidRPr="009B5BC8">
        <w:rPr>
          <w:rFonts w:ascii="Times New Roman" w:eastAsia="Calibri" w:hAnsi="Times New Roman" w:cs="Times New Roman"/>
          <w:sz w:val="28"/>
          <w:szCs w:val="28"/>
        </w:rPr>
        <w:t>годы ориентирована в первую очередь на трансформацию экономики и повышение потенциала развития, включающее в себя обеспечение достижения национальных целей развития, а также содействие адаптации и структурной перестройке экономики. Также сохраняются меры, направленные на решение задач:</w:t>
      </w:r>
    </w:p>
    <w:p w:rsidR="00FF7977" w:rsidRPr="009B5BC8" w:rsidRDefault="00FF7977" w:rsidP="00C94B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C8">
        <w:rPr>
          <w:rFonts w:ascii="Times New Roman" w:hAnsi="Times New Roman" w:cs="Times New Roman"/>
          <w:sz w:val="28"/>
          <w:szCs w:val="28"/>
        </w:rPr>
        <w:t>по обеспечению долгосрочной сбалансированности и устойчивости бюджет</w:t>
      </w:r>
      <w:r w:rsidR="00D5566D" w:rsidRPr="009B5BC8">
        <w:rPr>
          <w:rFonts w:ascii="Times New Roman" w:hAnsi="Times New Roman" w:cs="Times New Roman"/>
          <w:sz w:val="28"/>
          <w:szCs w:val="28"/>
        </w:rPr>
        <w:t>а города Чебоксары</w:t>
      </w:r>
      <w:r w:rsidRPr="009B5BC8">
        <w:rPr>
          <w:rFonts w:ascii="Times New Roman" w:hAnsi="Times New Roman" w:cs="Times New Roman"/>
          <w:sz w:val="28"/>
          <w:szCs w:val="28"/>
        </w:rPr>
        <w:t>;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созданию благоприятной налоговой среды для стимулирования восстановления отраслей экономики и субъектов малого и среднего </w:t>
      </w:r>
      <w:r w:rsidRPr="009B5BC8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предпринимательства, содействия занятости населения и легализации доходов;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эффективному использованию бюджетных ресурсов для обеспечения развития экономики, повышения уровня жизни населения и формирования благоприятных условий жизнедеятельности в </w:t>
      </w:r>
      <w:r w:rsidR="003F480B" w:rsidRPr="009B5BC8">
        <w:rPr>
          <w:rFonts w:ascii="Times New Roman" w:eastAsia="Calibri" w:hAnsi="Times New Roman" w:cs="Times New Roman"/>
          <w:sz w:val="28"/>
          <w:szCs w:val="28"/>
        </w:rPr>
        <w:t>городе Чебоксары</w:t>
      </w:r>
      <w:r w:rsidRPr="009B5B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>совершенствованию</w:t>
      </w:r>
      <w:r w:rsidR="003F480B" w:rsidRPr="009B5BC8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контроля;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эффективному управлению </w:t>
      </w:r>
      <w:r w:rsidR="003F480B" w:rsidRPr="009B5BC8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 долгом </w:t>
      </w:r>
      <w:r w:rsidR="003F480B" w:rsidRPr="009B5BC8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Pr="009B5BC8">
        <w:rPr>
          <w:rFonts w:ascii="Times New Roman" w:eastAsia="Calibri" w:hAnsi="Times New Roman" w:cs="Times New Roman"/>
          <w:sz w:val="28"/>
          <w:szCs w:val="28"/>
        </w:rPr>
        <w:t>и сохранение его объема на экономически безопасном уровне;</w:t>
      </w:r>
    </w:p>
    <w:p w:rsidR="00C94BC9" w:rsidRPr="009B5BC8" w:rsidRDefault="00C94BC9" w:rsidP="00C94BC9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B5BC8">
        <w:rPr>
          <w:sz w:val="28"/>
          <w:szCs w:val="28"/>
        </w:rPr>
        <w:t>соблюдение условий соглашений, заключенных Администрацией города Чебоксары с Министерством финансов Чувашской Республики о предоставлении бюджету города Чебоксары из республиканского бюджета бюджетных кредитов и о мерах по социально-экономическому развитию и оздоровлению муниципальных финансов муниципального образования города Чебоксары.</w:t>
      </w:r>
    </w:p>
    <w:p w:rsidR="00C94BC9" w:rsidRPr="009B5BC8" w:rsidRDefault="00C94BC9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b/>
          <w:sz w:val="28"/>
          <w:szCs w:val="28"/>
        </w:rPr>
        <w:t>Налоговая политика</w:t>
      </w:r>
      <w:r w:rsidRPr="009B5BC8">
        <w:rPr>
          <w:rFonts w:ascii="Times New Roman" w:eastAsia="Calibri" w:hAnsi="Times New Roman"/>
          <w:sz w:val="28"/>
          <w:szCs w:val="28"/>
        </w:rPr>
        <w:t xml:space="preserve"> города Чебоксары формируется с учетом федеральных и региональных решений.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B5BC8">
        <w:rPr>
          <w:rFonts w:ascii="Times New Roman" w:eastAsia="Calibri" w:hAnsi="Times New Roman"/>
          <w:sz w:val="28"/>
          <w:szCs w:val="28"/>
        </w:rPr>
        <w:t xml:space="preserve">В предыдущие года приняты ряд изменений в налоговое законодательство, направленных на стимулирование экономической и инвестиционной активности, на поддержку социально незащищенных слоев населения, также приняты меры, направленные на поддержку бизнеса субъектов малого и среднего предпринимательства, на преодоление негативного влияния связанного с распространением </w:t>
      </w:r>
      <w:proofErr w:type="spellStart"/>
      <w:r w:rsidRPr="009B5BC8">
        <w:rPr>
          <w:rFonts w:ascii="Times New Roman" w:eastAsia="Calibri" w:hAnsi="Times New Roman"/>
          <w:sz w:val="28"/>
          <w:szCs w:val="28"/>
        </w:rPr>
        <w:t>коронавирусной</w:t>
      </w:r>
      <w:proofErr w:type="spellEnd"/>
      <w:r w:rsidRPr="009B5BC8">
        <w:rPr>
          <w:rFonts w:ascii="Times New Roman" w:eastAsia="Calibri" w:hAnsi="Times New Roman"/>
          <w:sz w:val="28"/>
          <w:szCs w:val="28"/>
        </w:rPr>
        <w:t xml:space="preserve"> инфекции и  антикризисные меры поддержки в условиях </w:t>
      </w:r>
      <w:proofErr w:type="spellStart"/>
      <w:r w:rsidRPr="009B5BC8">
        <w:rPr>
          <w:rFonts w:ascii="Times New Roman" w:eastAsia="Calibri" w:hAnsi="Times New Roman"/>
          <w:sz w:val="28"/>
          <w:szCs w:val="28"/>
        </w:rPr>
        <w:t>санкционных</w:t>
      </w:r>
      <w:proofErr w:type="spellEnd"/>
      <w:r w:rsidRPr="009B5BC8">
        <w:rPr>
          <w:rFonts w:ascii="Times New Roman" w:eastAsia="Calibri" w:hAnsi="Times New Roman"/>
          <w:sz w:val="28"/>
          <w:szCs w:val="28"/>
        </w:rPr>
        <w:t xml:space="preserve"> ограничений: </w:t>
      </w:r>
      <w:proofErr w:type="gramEnd"/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– продлены сроки уплаты страховых взносов за 2 и 3 кварталы 2022 года на 12 месяцев организациям и индивидуальным предпринимателям, осуществляющим отдельные виды деятельности по перечню, утвержденному Правительством Российской Федерации;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 продлены сроки уплаты налога, взимаемого в связи с применением упрощенной системы налогообложения за 2021 год и I квартал 2022 года (авансовые платежи) на 6 месяцев с последующей полугодовой рассрочкой для наиболее пострадавших отраслей экономики;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 понижены налоговые ставки по налогу, взимаемому в связи с применением упрощенной системы налогообложения, на 2021</w:t>
      </w:r>
      <w:r w:rsidR="00617E3D" w:rsidRPr="009B5BC8">
        <w:rPr>
          <w:rFonts w:ascii="Times New Roman" w:hAnsi="Times New Roman" w:cs="Times New Roman"/>
          <w:sz w:val="28"/>
          <w:szCs w:val="28"/>
        </w:rPr>
        <w:t>–</w:t>
      </w:r>
      <w:r w:rsidRPr="009B5BC8">
        <w:rPr>
          <w:rFonts w:ascii="Times New Roman" w:eastAsia="Calibri" w:hAnsi="Times New Roman"/>
          <w:sz w:val="28"/>
          <w:szCs w:val="28"/>
        </w:rPr>
        <w:t xml:space="preserve">2023 годы </w:t>
      </w:r>
      <w:proofErr w:type="gramStart"/>
      <w:r w:rsidRPr="009B5BC8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9B5BC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B5BC8">
        <w:rPr>
          <w:rFonts w:ascii="Times New Roman" w:eastAsia="Calibri" w:hAnsi="Times New Roman"/>
          <w:sz w:val="28"/>
          <w:szCs w:val="28"/>
        </w:rPr>
        <w:t>налогоплательщиков, осуществляющих в качестве основного вид экономической деятельности, относящийся к разделам «Обрабатывающие производства», группировке «Научные исследования и разработки», а также для организаций, включенных в реестр социально ориентированных некоммерческих организаций, в случае, если объектом налогообложения являются доходы, уменьшенные на величину расходов, – до 10%; в случае, если объектом налогообложения являются доходы – до 4%;</w:t>
      </w:r>
      <w:proofErr w:type="gramEnd"/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– размер потенциально возможного к получению индивидуальным предпринимателем годового дохода от осуществления предпринимательской деятельности, в отношении которой применяется патентная система налогообложения, дифференцирован по группам муниципальных </w:t>
      </w:r>
      <w:r w:rsidRPr="009B5BC8">
        <w:rPr>
          <w:rFonts w:ascii="Times New Roman" w:eastAsia="Calibri" w:hAnsi="Times New Roman"/>
          <w:sz w:val="28"/>
          <w:szCs w:val="28"/>
        </w:rPr>
        <w:lastRenderedPageBreak/>
        <w:t>образований Чувашской Республики;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B5BC8">
        <w:rPr>
          <w:rFonts w:ascii="Times New Roman" w:eastAsia="Calibri" w:hAnsi="Times New Roman"/>
          <w:sz w:val="28"/>
          <w:szCs w:val="28"/>
        </w:rPr>
        <w:t>– продлены до 1 января 2025 года «налоговые каникулы»,                                       т.е. возможность применения нулевой налоговой ставки по упрощенной                            и патентной систем</w:t>
      </w:r>
      <w:r w:rsidR="00934805">
        <w:rPr>
          <w:rFonts w:ascii="Times New Roman" w:eastAsia="Calibri" w:hAnsi="Times New Roman"/>
          <w:sz w:val="28"/>
          <w:szCs w:val="28"/>
        </w:rPr>
        <w:t>е</w:t>
      </w:r>
      <w:r w:rsidRPr="009B5BC8">
        <w:rPr>
          <w:rFonts w:ascii="Times New Roman" w:eastAsia="Calibri" w:hAnsi="Times New Roman"/>
          <w:sz w:val="28"/>
          <w:szCs w:val="28"/>
        </w:rPr>
        <w:t xml:space="preserve"> налогообложения для впервые зарегистрированных индивидуальных предпринимателей,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населению;</w:t>
      </w:r>
      <w:proofErr w:type="gramEnd"/>
    </w:p>
    <w:p w:rsidR="00FB6106" w:rsidRPr="009B5BC8" w:rsidRDefault="000850F5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</w:t>
      </w:r>
      <w:r w:rsidR="00FB6106" w:rsidRPr="009B5BC8">
        <w:rPr>
          <w:rFonts w:ascii="Times New Roman" w:eastAsia="Calibri" w:hAnsi="Times New Roman"/>
          <w:sz w:val="28"/>
          <w:szCs w:val="28"/>
        </w:rPr>
        <w:t xml:space="preserve"> освобождены от уплаты транспортного налога на легковые автомобили мощностью до 150 </w:t>
      </w:r>
      <w:proofErr w:type="spellStart"/>
      <w:r w:rsidR="00FB6106" w:rsidRPr="009B5BC8">
        <w:rPr>
          <w:rFonts w:ascii="Times New Roman" w:eastAsia="Calibri" w:hAnsi="Times New Roman"/>
          <w:sz w:val="28"/>
          <w:szCs w:val="28"/>
        </w:rPr>
        <w:t>л.</w:t>
      </w:r>
      <w:proofErr w:type="gramStart"/>
      <w:r w:rsidR="00FB6106" w:rsidRPr="009B5BC8">
        <w:rPr>
          <w:rFonts w:ascii="Times New Roman" w:eastAsia="Calibri" w:hAnsi="Times New Roman"/>
          <w:sz w:val="28"/>
          <w:szCs w:val="28"/>
        </w:rPr>
        <w:t>с</w:t>
      </w:r>
      <w:proofErr w:type="spellEnd"/>
      <w:proofErr w:type="gramEnd"/>
      <w:r w:rsidR="00FB6106" w:rsidRPr="009B5BC8">
        <w:rPr>
          <w:rFonts w:ascii="Times New Roman" w:eastAsia="Calibri" w:hAnsi="Times New Roman"/>
          <w:sz w:val="28"/>
          <w:szCs w:val="28"/>
        </w:rPr>
        <w:t xml:space="preserve">. включительно </w:t>
      </w:r>
      <w:proofErr w:type="gramStart"/>
      <w:r w:rsidR="00FB6106" w:rsidRPr="009B5BC8">
        <w:rPr>
          <w:rFonts w:ascii="Times New Roman" w:eastAsia="Calibri" w:hAnsi="Times New Roman"/>
          <w:sz w:val="28"/>
          <w:szCs w:val="28"/>
        </w:rPr>
        <w:t>по</w:t>
      </w:r>
      <w:proofErr w:type="gramEnd"/>
      <w:r w:rsidR="00FB6106" w:rsidRPr="009B5BC8">
        <w:rPr>
          <w:rFonts w:ascii="Times New Roman" w:eastAsia="Calibri" w:hAnsi="Times New Roman"/>
          <w:sz w:val="28"/>
          <w:szCs w:val="28"/>
        </w:rPr>
        <w:t xml:space="preserve"> их выбору на одно транспортное средство семьи с детьми-инвалидами; многодетные семьи, имеющие в своем составе трех и более детей в возрасте до 18 лет;</w:t>
      </w:r>
    </w:p>
    <w:p w:rsidR="00FB6106" w:rsidRPr="009B5BC8" w:rsidRDefault="000850F5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</w:t>
      </w:r>
      <w:r w:rsidR="00FB6106" w:rsidRPr="009B5BC8">
        <w:rPr>
          <w:rFonts w:ascii="Times New Roman" w:eastAsia="Calibri" w:hAnsi="Times New Roman"/>
          <w:sz w:val="28"/>
          <w:szCs w:val="28"/>
        </w:rPr>
        <w:t xml:space="preserve"> сохранены пониженные налоговые ставки по упрощенной системе налогообложения в случае, если объектом налогообложения являются доходы, – 4%, в случае, если объектом налогообложения являются доходы, уменьшенные на величину расходов – 10% (для налогоплательщиков, включенных в перечень пострадавших отраслей, на 2022 год)</w:t>
      </w:r>
    </w:p>
    <w:p w:rsidR="00FB6106" w:rsidRPr="009B5BC8" w:rsidRDefault="000850F5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</w:t>
      </w:r>
      <w:r w:rsidR="00FB6106" w:rsidRPr="009B5BC8">
        <w:rPr>
          <w:rFonts w:ascii="Times New Roman" w:eastAsia="Calibri" w:hAnsi="Times New Roman"/>
          <w:sz w:val="28"/>
          <w:szCs w:val="28"/>
        </w:rPr>
        <w:t xml:space="preserve"> установлены пониженные налоговые ставки по налогу в отношении объектов недвижимого имущества, налоговая база по которым определяется как их кадастровая стоимость (для поддержки владельцев крупных торговых центров); </w:t>
      </w:r>
    </w:p>
    <w:p w:rsidR="00FB6106" w:rsidRPr="009B5BC8" w:rsidRDefault="000850F5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</w:t>
      </w:r>
      <w:r w:rsidR="00FB6106" w:rsidRPr="009B5BC8">
        <w:rPr>
          <w:rFonts w:ascii="Times New Roman" w:eastAsia="Calibri" w:hAnsi="Times New Roman"/>
          <w:sz w:val="28"/>
          <w:szCs w:val="28"/>
        </w:rPr>
        <w:t xml:space="preserve"> продлено на 1 год действие пониженных налоговых ставок по налогу в отношении объектов недвижимого имущества, налоговая база по которым определяется как их кадастровая стоимость – до 1 января 2026 года (на 2022 год – 1,0%, на 2023 год – 1,3%, на 2024 год – 1,5%, на 2025 год – 1,8%, с 2026 года – 2,0%);</w:t>
      </w:r>
    </w:p>
    <w:p w:rsidR="00FB6106" w:rsidRPr="009B5BC8" w:rsidRDefault="000850F5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</w:t>
      </w:r>
      <w:r w:rsidR="00FB6106" w:rsidRPr="009B5BC8">
        <w:rPr>
          <w:rFonts w:ascii="Times New Roman" w:eastAsia="Calibri" w:hAnsi="Times New Roman"/>
          <w:sz w:val="28"/>
          <w:szCs w:val="28"/>
        </w:rPr>
        <w:t xml:space="preserve"> установлена пониженная налоговая ставка по налогу на имущество организаций в 2021 году – 0,3%, в 2022 году – 0,5%, в 2023 году и последующие годы – 0,8% для образовательных учреждений, основным видом деятельности которых является деятельность, относящаяся к разделам 85.22 «Образование высшее» и 85.21 «Образование профессиональное среднее» Общероссийского классификатора видов экономической деятельности </w:t>
      </w:r>
      <w:proofErr w:type="gramStart"/>
      <w:r w:rsidR="00FB6106" w:rsidRPr="009B5BC8">
        <w:rPr>
          <w:rFonts w:ascii="Times New Roman" w:eastAsia="Calibri" w:hAnsi="Times New Roman"/>
          <w:sz w:val="28"/>
          <w:szCs w:val="28"/>
        </w:rPr>
        <w:t>ОК</w:t>
      </w:r>
      <w:proofErr w:type="gramEnd"/>
      <w:r w:rsidR="00FB6106" w:rsidRPr="009B5BC8">
        <w:rPr>
          <w:rFonts w:ascii="Times New Roman" w:eastAsia="Calibri" w:hAnsi="Times New Roman"/>
          <w:sz w:val="28"/>
          <w:szCs w:val="28"/>
        </w:rPr>
        <w:t xml:space="preserve"> 029-2014 (КДЕС ред. 2), в отношении жилых помещений, налоговая база по </w:t>
      </w:r>
      <w:proofErr w:type="gramStart"/>
      <w:r w:rsidR="00FB6106" w:rsidRPr="009B5BC8">
        <w:rPr>
          <w:rFonts w:ascii="Times New Roman" w:eastAsia="Calibri" w:hAnsi="Times New Roman"/>
          <w:sz w:val="28"/>
          <w:szCs w:val="28"/>
        </w:rPr>
        <w:t>которым</w:t>
      </w:r>
      <w:proofErr w:type="gramEnd"/>
      <w:r w:rsidR="00FB6106" w:rsidRPr="009B5BC8">
        <w:rPr>
          <w:rFonts w:ascii="Times New Roman" w:eastAsia="Calibri" w:hAnsi="Times New Roman"/>
          <w:sz w:val="28"/>
          <w:szCs w:val="28"/>
        </w:rPr>
        <w:t xml:space="preserve"> определяется как кадастровая стоимость;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 ряд доходов физических лиц освобождены от налогообложения налогом на доходы физических лиц (доходы в виде материа</w:t>
      </w:r>
      <w:r w:rsidR="00617E3D" w:rsidRPr="009B5BC8">
        <w:rPr>
          <w:rFonts w:ascii="Times New Roman" w:eastAsia="Calibri" w:hAnsi="Times New Roman"/>
          <w:sz w:val="28"/>
          <w:szCs w:val="28"/>
        </w:rPr>
        <w:t>льной выгоды, полученные в 2021</w:t>
      </w:r>
      <w:r w:rsidRPr="009B5BC8">
        <w:rPr>
          <w:rFonts w:ascii="Times New Roman" w:eastAsia="Calibri" w:hAnsi="Times New Roman"/>
          <w:sz w:val="28"/>
          <w:szCs w:val="28"/>
        </w:rPr>
        <w:t>–2023 годах; доходы в виде процентов, полученных в 2021 и 2022 годах по вкладам (остаткам на счетах) в банках, находящихся на территории Российской Федерации и т.д.);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– по транспортному налогу отменены повышающие коэффициенты 1,1 и 2 для легковых автомобилей средней стоимостью от 3 </w:t>
      </w:r>
      <w:proofErr w:type="gramStart"/>
      <w:r w:rsidRPr="009B5BC8">
        <w:rPr>
          <w:rFonts w:ascii="Times New Roman" w:eastAsia="Calibri" w:hAnsi="Times New Roman"/>
          <w:sz w:val="28"/>
          <w:szCs w:val="28"/>
        </w:rPr>
        <w:t>млн</w:t>
      </w:r>
      <w:proofErr w:type="gramEnd"/>
      <w:r w:rsidRPr="009B5BC8">
        <w:rPr>
          <w:rFonts w:ascii="Times New Roman" w:eastAsia="Calibri" w:hAnsi="Times New Roman"/>
          <w:sz w:val="28"/>
          <w:szCs w:val="28"/>
        </w:rPr>
        <w:t xml:space="preserve"> рублей до 10 млн рублей;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– применение для расчета налога на имущество организаций и земельного налога в 2023 году кадастровой стоимости имущества и земельных участков соответственно по состоянию на 1 января 2022 года;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B5BC8">
        <w:rPr>
          <w:rFonts w:ascii="Times New Roman" w:eastAsia="Calibri" w:hAnsi="Times New Roman"/>
          <w:sz w:val="28"/>
          <w:szCs w:val="28"/>
        </w:rPr>
        <w:t>– установлены пониженные налоговые ставки на 2022</w:t>
      </w:r>
      <w:r w:rsidR="00617E3D" w:rsidRPr="009B5BC8">
        <w:rPr>
          <w:rFonts w:ascii="Times New Roman" w:hAnsi="Times New Roman" w:cs="Times New Roman"/>
          <w:sz w:val="28"/>
          <w:szCs w:val="28"/>
        </w:rPr>
        <w:t>–</w:t>
      </w:r>
      <w:r w:rsidRPr="009B5BC8">
        <w:rPr>
          <w:rFonts w:ascii="Times New Roman" w:eastAsia="Calibri" w:hAnsi="Times New Roman"/>
          <w:sz w:val="28"/>
          <w:szCs w:val="28"/>
        </w:rPr>
        <w:t xml:space="preserve">2024 годы по налогу, взимаемому в связи с применением упрощенной системы </w:t>
      </w:r>
      <w:r w:rsidRPr="009B5BC8">
        <w:rPr>
          <w:rFonts w:ascii="Times New Roman" w:eastAsia="Calibri" w:hAnsi="Times New Roman"/>
          <w:sz w:val="28"/>
          <w:szCs w:val="28"/>
        </w:rPr>
        <w:lastRenderedPageBreak/>
        <w:t>налогообложения для субъектов малого и среднего предпринимательства, получивших документ о государственной аккредитации организации, осуществляющей деятельность в области информационных технологий, в случае, если объектом налогообложения являются доходы, уменьшенные на величину расходов, в размере 5%; в случае, если объектом налогообложения являются доходы – 1%;</w:t>
      </w:r>
      <w:proofErr w:type="gramEnd"/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Реализация пакета антикризисных мер поддержки бизнеса в 2020–2022 годах способствовала восстановлению экономики. В связи с чем, не смотря на оказываемое беспрецедентное давление на экономику России в 2022 году, поступление налоговых доходов в бюджет города Чебоксары на 1 ноября текущего года составило 3 383,2 </w:t>
      </w:r>
      <w:proofErr w:type="gramStart"/>
      <w:r w:rsidRPr="009B5BC8">
        <w:rPr>
          <w:rFonts w:ascii="Times New Roman" w:eastAsia="Calibri" w:hAnsi="Times New Roman"/>
          <w:sz w:val="28"/>
          <w:szCs w:val="28"/>
        </w:rPr>
        <w:t>млн</w:t>
      </w:r>
      <w:proofErr w:type="gramEnd"/>
      <w:r w:rsidRPr="009B5BC8">
        <w:rPr>
          <w:rFonts w:ascii="Times New Roman" w:eastAsia="Calibri" w:hAnsi="Times New Roman"/>
          <w:sz w:val="28"/>
          <w:szCs w:val="28"/>
        </w:rPr>
        <w:t xml:space="preserve"> рублей, с ростом к аналогичному периоду 2021 года (2 874,6 млн</w:t>
      </w:r>
      <w:r w:rsidR="00617E3D" w:rsidRPr="009B5BC8">
        <w:rPr>
          <w:rFonts w:ascii="Times New Roman" w:eastAsia="Calibri" w:hAnsi="Times New Roman"/>
          <w:sz w:val="28"/>
          <w:szCs w:val="28"/>
        </w:rPr>
        <w:t xml:space="preserve"> рублей) на 17,7</w:t>
      </w:r>
      <w:r w:rsidRPr="009B5BC8">
        <w:rPr>
          <w:rFonts w:ascii="Times New Roman" w:eastAsia="Calibri" w:hAnsi="Times New Roman"/>
          <w:sz w:val="28"/>
          <w:szCs w:val="28"/>
        </w:rPr>
        <w:t>%.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В налоговой политике города Чебоксары на 2023–2025 годы приоритетом остаются обеспечение стабильных налоговых условий для хозяйствующих субъектов, повышение стимулирующей функции налоговой системы и повышение собираемости налогов, в том числе: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мобилизация резервов доходной базы бюджета города Чебоксары;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города Чебоксары для инвесторов;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обеспечение роста доходов бюджета города Чебоксары за счет повышения эффективности администрирования действующих налогов;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сокращение неформальной занятости;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реализации мер по противодействию уклонению от уплаты налогов и других обязательных платежей в бюджет;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>повышение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города Чебоксары.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B5BC8">
        <w:rPr>
          <w:rFonts w:ascii="Times New Roman" w:eastAsia="Calibri" w:hAnsi="Times New Roman"/>
          <w:sz w:val="28"/>
          <w:szCs w:val="28"/>
        </w:rPr>
        <w:t xml:space="preserve">Одним из направлений налоговой политики города Чебоксары является проведение оценки эффективности налоговых расходов, установленных решением Чебоксарского городского Собрания депутатов от 10 июня 2004 г. № 1287 «Об утверждении Положения о вопросах налогового регулирования в городе Чебоксары, отнесенных законодательством Российской Федерации о налогах и сборах к ведению органов местного самоуправления» (далее – Решение от 10.06.2004 № 1287). </w:t>
      </w:r>
      <w:proofErr w:type="gramEnd"/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Критериями оценки эффективности налоговых расходов согласно </w:t>
      </w:r>
      <w:r w:rsidRPr="009B5BC8">
        <w:rPr>
          <w:rFonts w:ascii="Times New Roman" w:eastAsia="Calibri" w:hAnsi="Times New Roman"/>
          <w:sz w:val="28"/>
          <w:szCs w:val="28"/>
        </w:rPr>
        <w:lastRenderedPageBreak/>
        <w:t xml:space="preserve">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г. № 796, являются ежегодный прирост налоговых доходов от получателей налоговых льгот, востребованность налоговой льготы (налогового расхода).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В целом в 2021 году льготами и иными преференциями, </w:t>
      </w:r>
      <w:proofErr w:type="gramStart"/>
      <w:r w:rsidRPr="009B5BC8">
        <w:rPr>
          <w:rFonts w:ascii="Times New Roman" w:eastAsia="Calibri" w:hAnsi="Times New Roman"/>
          <w:sz w:val="28"/>
          <w:szCs w:val="28"/>
        </w:rPr>
        <w:t>предусмотренные</w:t>
      </w:r>
      <w:proofErr w:type="gramEnd"/>
      <w:r w:rsidRPr="009B5BC8">
        <w:rPr>
          <w:rFonts w:ascii="Times New Roman" w:eastAsia="Calibri" w:hAnsi="Times New Roman"/>
          <w:sz w:val="28"/>
          <w:szCs w:val="28"/>
        </w:rPr>
        <w:t xml:space="preserve"> решением от 10.06.2004 № 1287, воспользовались 12 216 налогоплательщиков, в том числе по налогу на имущество физических лиц – 133 налогоплательщика и по земельному налогу – 12 083 налогоплательщиков.  </w:t>
      </w:r>
    </w:p>
    <w:p w:rsidR="00FB6106" w:rsidRPr="009B5BC8" w:rsidRDefault="00FB6106" w:rsidP="00FB610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B5BC8">
        <w:rPr>
          <w:rFonts w:ascii="Times New Roman" w:eastAsia="Calibri" w:hAnsi="Times New Roman"/>
          <w:sz w:val="28"/>
          <w:szCs w:val="28"/>
        </w:rPr>
        <w:t xml:space="preserve">За 2021 год общая сумма налоговых льгот и иных преференций, предоставленных в соответствии с Решением от 10.06.2004 № 1287, составила в сумме 1,4 </w:t>
      </w:r>
      <w:proofErr w:type="gramStart"/>
      <w:r w:rsidRPr="009B5BC8">
        <w:rPr>
          <w:rFonts w:ascii="Times New Roman" w:eastAsia="Calibri" w:hAnsi="Times New Roman"/>
          <w:sz w:val="28"/>
          <w:szCs w:val="28"/>
        </w:rPr>
        <w:t>млн</w:t>
      </w:r>
      <w:proofErr w:type="gramEnd"/>
      <w:r w:rsidRPr="009B5BC8">
        <w:rPr>
          <w:rFonts w:ascii="Times New Roman" w:eastAsia="Calibri" w:hAnsi="Times New Roman"/>
          <w:sz w:val="28"/>
          <w:szCs w:val="28"/>
        </w:rPr>
        <w:t xml:space="preserve"> рублей.</w:t>
      </w:r>
    </w:p>
    <w:p w:rsidR="00FF7977" w:rsidRPr="009B5BC8" w:rsidRDefault="00FF7977" w:rsidP="00C94BC9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5BC8">
        <w:rPr>
          <w:rFonts w:ascii="Times New Roman" w:eastAsia="Calibri" w:hAnsi="Times New Roman" w:cs="Times New Roman"/>
          <w:b/>
          <w:sz w:val="28"/>
          <w:szCs w:val="28"/>
        </w:rPr>
        <w:t>Бюджетная политика</w:t>
      </w: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636" w:rsidRPr="009B5BC8">
        <w:rPr>
          <w:rFonts w:ascii="Times New Roman" w:eastAsia="Calibri" w:hAnsi="Times New Roman" w:cs="Times New Roman"/>
          <w:sz w:val="28"/>
          <w:szCs w:val="28"/>
        </w:rPr>
        <w:t xml:space="preserve">города Чебоксары </w:t>
      </w: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в части расходов на </w:t>
      </w:r>
      <w:r w:rsidR="00EB6C30" w:rsidRPr="009B5BC8">
        <w:rPr>
          <w:rFonts w:ascii="Times New Roman" w:hAnsi="Times New Roman" w:cs="Times New Roman"/>
          <w:sz w:val="28"/>
          <w:szCs w:val="28"/>
        </w:rPr>
        <w:t xml:space="preserve">2023–2025 </w:t>
      </w:r>
      <w:r w:rsidRPr="009B5BC8">
        <w:rPr>
          <w:rFonts w:ascii="Times New Roman" w:eastAsia="Calibri" w:hAnsi="Times New Roman" w:cs="Times New Roman"/>
          <w:sz w:val="28"/>
          <w:szCs w:val="28"/>
        </w:rPr>
        <w:t>годы будет ориентирована на безусловное достижение приоритетов и целей, определенных в указах Президента Российской Федерации </w:t>
      </w:r>
      <w:hyperlink r:id="rId8" w:anchor="/document/71937200/entry/0" w:history="1">
        <w:r w:rsidRPr="009B5BC8">
          <w:rPr>
            <w:rFonts w:ascii="Times New Roman" w:eastAsia="Calibri" w:hAnsi="Times New Roman" w:cs="Times New Roman"/>
            <w:sz w:val="28"/>
            <w:szCs w:val="28"/>
          </w:rPr>
          <w:t>от 7 мая 2018 г. № 204</w:t>
        </w:r>
      </w:hyperlink>
      <w:r w:rsidRPr="009B5BC8">
        <w:rPr>
          <w:rFonts w:ascii="Times New Roman" w:eastAsia="Calibri" w:hAnsi="Times New Roman" w:cs="Times New Roman"/>
          <w:sz w:val="28"/>
          <w:szCs w:val="28"/>
        </w:rPr>
        <w:t> «О национальных целях и стратегических задачах развития Российской Федерации на период до 2024 года» и </w:t>
      </w:r>
      <w:hyperlink r:id="rId9" w:anchor="/document/74404210/entry/0" w:history="1">
        <w:r w:rsidRPr="009B5BC8">
          <w:rPr>
            <w:rFonts w:ascii="Times New Roman" w:eastAsia="Calibri" w:hAnsi="Times New Roman" w:cs="Times New Roman"/>
            <w:sz w:val="28"/>
            <w:szCs w:val="28"/>
          </w:rPr>
          <w:t>от 21 июля 2020 г. № 474</w:t>
        </w:r>
      </w:hyperlink>
      <w:r w:rsidRPr="009B5BC8">
        <w:rPr>
          <w:rFonts w:ascii="Times New Roman" w:eastAsia="Calibri" w:hAnsi="Times New Roman" w:cs="Times New Roman"/>
          <w:sz w:val="28"/>
          <w:szCs w:val="28"/>
        </w:rPr>
        <w:t> «О национальных целях развития Российской Федерации на период до</w:t>
      </w:r>
      <w:proofErr w:type="gramEnd"/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 2030 года».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Оказываемое на Россию беспрецедентное в мировом масштабе </w:t>
      </w:r>
      <w:proofErr w:type="spellStart"/>
      <w:r w:rsidRPr="009B5BC8">
        <w:rPr>
          <w:rFonts w:ascii="Times New Roman" w:eastAsia="Calibri" w:hAnsi="Times New Roman" w:cs="Times New Roman"/>
          <w:sz w:val="28"/>
          <w:szCs w:val="28"/>
        </w:rPr>
        <w:t>санкционное</w:t>
      </w:r>
      <w:proofErr w:type="spellEnd"/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 давление выступает определенным катализатором для улучшения инструментов, позволяющих сохранять финансовую и экономическую устойчивость, а также для решения структурных проблем и трансформации экономики. </w:t>
      </w:r>
    </w:p>
    <w:p w:rsidR="00FF7977" w:rsidRPr="009B5BC8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 xml:space="preserve">Несмотря на внешние вызовы, достижение национальных целей развития страны остается ключевой задачей бюджетной политики, на решение которой в том числе направлено изменение структуры и повышение результативности расходов. </w:t>
      </w:r>
    </w:p>
    <w:p w:rsidR="00FF7977" w:rsidRDefault="00FF7977" w:rsidP="00C94BC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BC8">
        <w:rPr>
          <w:rFonts w:ascii="Times New Roman" w:eastAsia="Calibri" w:hAnsi="Times New Roman" w:cs="Times New Roman"/>
          <w:sz w:val="28"/>
          <w:szCs w:val="28"/>
        </w:rPr>
        <w:t>При этом одними из ключевых инструментов достижения национальных целей являются национальные проекты.</w:t>
      </w:r>
    </w:p>
    <w:p w:rsidR="002C0BFE" w:rsidRPr="00E93B4C" w:rsidRDefault="002C0BFE" w:rsidP="00C94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4C">
        <w:rPr>
          <w:rFonts w:ascii="Times New Roman" w:hAnsi="Times New Roman" w:cs="Times New Roman"/>
          <w:sz w:val="28"/>
          <w:szCs w:val="28"/>
        </w:rPr>
        <w:t xml:space="preserve">Средства на реализацию региональных проектов, направленных на достижение целей национальных проектов Российской Федерации, оцениваются из бюджета города Чебоксары с </w:t>
      </w:r>
      <w:r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2019 по 2025 годы в объеме </w:t>
      </w:r>
      <w:r w:rsidR="00370AB3">
        <w:rPr>
          <w:rFonts w:ascii="Times New Roman" w:hAnsi="Times New Roman" w:cs="Times New Roman"/>
          <w:color w:val="auto"/>
          <w:sz w:val="28"/>
          <w:szCs w:val="28"/>
        </w:rPr>
        <w:t>17,3</w:t>
      </w:r>
      <w:r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56529">
        <w:rPr>
          <w:rFonts w:ascii="Times New Roman" w:hAnsi="Times New Roman" w:cs="Times New Roman"/>
          <w:color w:val="auto"/>
          <w:sz w:val="28"/>
          <w:szCs w:val="28"/>
        </w:rPr>
        <w:t>млрд</w:t>
      </w:r>
      <w:proofErr w:type="gramEnd"/>
      <w:r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 рублей, в том числе из федерального бюджета – </w:t>
      </w:r>
      <w:r w:rsidR="00E93B4C" w:rsidRPr="00856529">
        <w:rPr>
          <w:rFonts w:ascii="Times New Roman" w:hAnsi="Times New Roman" w:cs="Times New Roman"/>
          <w:color w:val="auto"/>
          <w:sz w:val="28"/>
          <w:szCs w:val="28"/>
        </w:rPr>
        <w:t>9,2</w:t>
      </w:r>
      <w:r w:rsidR="008274E9"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 млрд рублей, республиканского бюджета Чувашской Республики – </w:t>
      </w:r>
      <w:r w:rsidR="00370AB3">
        <w:rPr>
          <w:rFonts w:ascii="Times New Roman" w:hAnsi="Times New Roman" w:cs="Times New Roman"/>
          <w:color w:val="auto"/>
          <w:sz w:val="28"/>
          <w:szCs w:val="28"/>
        </w:rPr>
        <w:t>6,2</w:t>
      </w:r>
      <w:r w:rsidR="008274E9"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 млрд рублей, бюджета города Чебоксары – </w:t>
      </w:r>
      <w:r w:rsidR="00E93B4C" w:rsidRPr="00856529">
        <w:rPr>
          <w:rFonts w:ascii="Times New Roman" w:hAnsi="Times New Roman" w:cs="Times New Roman"/>
          <w:color w:val="auto"/>
          <w:sz w:val="28"/>
          <w:szCs w:val="28"/>
        </w:rPr>
        <w:t>1,9</w:t>
      </w:r>
      <w:r w:rsidR="008274E9"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 млрд рублей (из них в 2023 году – </w:t>
      </w:r>
      <w:r w:rsidR="00E93B4C" w:rsidRPr="00856529">
        <w:rPr>
          <w:rFonts w:ascii="Times New Roman" w:hAnsi="Times New Roman" w:cs="Times New Roman"/>
          <w:color w:val="auto"/>
          <w:sz w:val="28"/>
          <w:szCs w:val="28"/>
        </w:rPr>
        <w:t>1,6</w:t>
      </w:r>
      <w:r w:rsidR="008274E9" w:rsidRPr="00856529">
        <w:rPr>
          <w:rFonts w:ascii="Times New Roman" w:hAnsi="Times New Roman" w:cs="Times New Roman"/>
          <w:color w:val="auto"/>
          <w:sz w:val="28"/>
          <w:szCs w:val="28"/>
        </w:rPr>
        <w:t xml:space="preserve"> млрд </w:t>
      </w:r>
      <w:r w:rsidR="008274E9" w:rsidRPr="00E93B4C">
        <w:rPr>
          <w:rFonts w:ascii="Times New Roman" w:hAnsi="Times New Roman" w:cs="Times New Roman"/>
          <w:sz w:val="28"/>
          <w:szCs w:val="28"/>
        </w:rPr>
        <w:t>рублей).</w:t>
      </w:r>
    </w:p>
    <w:p w:rsidR="00FF7977" w:rsidRPr="0086192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6192C">
        <w:rPr>
          <w:rFonts w:ascii="Times New Roman" w:eastAsia="Calibri" w:hAnsi="Times New Roman" w:cs="Times New Roman"/>
          <w:color w:val="auto"/>
          <w:sz w:val="28"/>
          <w:szCs w:val="28"/>
        </w:rPr>
        <w:t>Как и федеральная бюджетная политика, бюджетная политика Чувашской Республики</w:t>
      </w:r>
      <w:r w:rsidR="00B02789" w:rsidRPr="0086192C">
        <w:rPr>
          <w:rFonts w:ascii="Times New Roman" w:eastAsia="Calibri" w:hAnsi="Times New Roman" w:cs="Times New Roman"/>
          <w:color w:val="auto"/>
          <w:sz w:val="28"/>
          <w:szCs w:val="28"/>
        </w:rPr>
        <w:t>, бюджетная политика города Чебоксары</w:t>
      </w:r>
      <w:r w:rsidR="00F87522" w:rsidRPr="0086192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86192C">
        <w:rPr>
          <w:rFonts w:ascii="Times New Roman" w:eastAsia="Calibri" w:hAnsi="Times New Roman" w:cs="Times New Roman"/>
          <w:color w:val="auto"/>
          <w:sz w:val="28"/>
          <w:szCs w:val="28"/>
        </w:rPr>
        <w:t>на 2023</w:t>
      </w:r>
      <w:r w:rsidR="00564E8F" w:rsidRPr="0086192C">
        <w:rPr>
          <w:rFonts w:ascii="Times New Roman" w:hAnsi="Times New Roman" w:cs="Times New Roman"/>
          <w:sz w:val="28"/>
          <w:szCs w:val="28"/>
        </w:rPr>
        <w:t>–</w:t>
      </w:r>
      <w:r w:rsidRPr="0086192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2025 годы будет направлена на достижение </w:t>
      </w:r>
      <w:r w:rsidRPr="0086192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национальных целей развития</w:t>
      </w:r>
      <w:r w:rsidR="00F723E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целях </w:t>
      </w:r>
      <w:r w:rsidRPr="00F723EC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расширения возможностей для самореализации и развития талантов</w:t>
      </w: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будет обеспечено финансирование отраслей образования, культуры и спорта</w:t>
      </w:r>
      <w:r w:rsidR="00CA0D3E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следующим направлениям: 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введение дополнительных мест в образовательных </w:t>
      </w:r>
      <w:r w:rsidR="00934805">
        <w:rPr>
          <w:rFonts w:ascii="Times New Roman" w:eastAsia="Calibri" w:hAnsi="Times New Roman" w:cs="Times New Roman"/>
          <w:color w:val="auto"/>
          <w:sz w:val="28"/>
          <w:szCs w:val="28"/>
        </w:rPr>
        <w:t>организациях</w:t>
      </w: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обеспечение горячим питанием обучающихся в начальных школах;</w:t>
      </w:r>
      <w:proofErr w:type="gramEnd"/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обеспечение горячим питанием детей из многодетных малоимущих детей;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выплата ежемесячного денежного вознаграждения за классное руководство;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обеспечение </w:t>
      </w:r>
      <w:proofErr w:type="gramStart"/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антитеррористический</w:t>
      </w:r>
      <w:proofErr w:type="gramEnd"/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защищенности объектов образования;</w:t>
      </w:r>
    </w:p>
    <w:p w:rsidR="00FF7977" w:rsidRPr="00F723EC" w:rsidRDefault="00D3298C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создание модельных библиотек</w:t>
      </w:r>
      <w:r w:rsidR="00FF7977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FF7977" w:rsidRPr="00F723EC" w:rsidRDefault="00F723EC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укрепление</w:t>
      </w:r>
      <w:r w:rsidR="00FF7977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материа</w:t>
      </w:r>
      <w:r w:rsidR="00BB6491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льно-технической базы библиотек</w:t>
      </w:r>
      <w:r w:rsidR="00FF7977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FF7977" w:rsidRPr="00F723EC" w:rsidRDefault="00F723EC" w:rsidP="00BB6491">
      <w:pPr>
        <w:pStyle w:val="1"/>
        <w:shd w:val="clear" w:color="auto" w:fill="auto"/>
        <w:spacing w:line="226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F723EC">
        <w:rPr>
          <w:rFonts w:eastAsia="Calibri"/>
          <w:color w:val="auto"/>
          <w:sz w:val="28"/>
          <w:szCs w:val="28"/>
        </w:rPr>
        <w:t>укрепление</w:t>
      </w:r>
      <w:r w:rsidR="00BB6491" w:rsidRPr="00F723EC">
        <w:rPr>
          <w:rFonts w:eastAsia="Calibri"/>
          <w:color w:val="auto"/>
          <w:sz w:val="28"/>
          <w:szCs w:val="28"/>
        </w:rPr>
        <w:t xml:space="preserve"> материально-технической базы </w:t>
      </w:r>
      <w:r w:rsidRPr="00F723EC">
        <w:rPr>
          <w:rFonts w:eastAsia="Calibri"/>
          <w:color w:val="auto"/>
          <w:sz w:val="28"/>
          <w:szCs w:val="28"/>
        </w:rPr>
        <w:t xml:space="preserve">учреждений физической культуры и спорта </w:t>
      </w:r>
      <w:r w:rsidR="00FF7977" w:rsidRPr="00F723EC">
        <w:rPr>
          <w:rFonts w:eastAsia="Calibri"/>
          <w:color w:val="auto"/>
          <w:sz w:val="28"/>
          <w:szCs w:val="28"/>
        </w:rPr>
        <w:t>и др.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изменившихся внешних и внутренних условиях в целях создания комфортной и безопасной среды для жизни планируются мероприятия, направленные на стимулирование спроса и предложения, а также на повышение эффективности работы строительного сектора, в том числе путем создания современной инфраструктуры. 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В этих целях в 2023</w:t>
      </w:r>
      <w:r w:rsidR="00B02789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2025 годах будет продолжена реализация мероприятий по следующим направлениям:</w:t>
      </w:r>
    </w:p>
    <w:p w:rsidR="00FF7977" w:rsidRPr="00F723EC" w:rsidRDefault="00446124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FF7977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улучшение жилищных условий и увеличение объемов жилищного строительства по следующим направлениям:</w:t>
      </w:r>
    </w:p>
    <w:p w:rsidR="00FF7977" w:rsidRPr="00F723EC" w:rsidRDefault="00FF7977" w:rsidP="00446124">
      <w:pPr>
        <w:widowControl/>
        <w:ind w:firstLine="1276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обеспечение жилыми помещениями детей-сирот;</w:t>
      </w:r>
    </w:p>
    <w:p w:rsidR="00FF7977" w:rsidRPr="00F723EC" w:rsidRDefault="00FF7977" w:rsidP="00446124">
      <w:pPr>
        <w:widowControl/>
        <w:ind w:firstLine="1276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обеспечение жилыми помещениями многодетных семей;</w:t>
      </w:r>
    </w:p>
    <w:p w:rsidR="00FF7977" w:rsidRPr="00F723EC" w:rsidRDefault="00FF7977" w:rsidP="00446124">
      <w:pPr>
        <w:widowControl/>
        <w:ind w:firstLine="1276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проектирование и строительство инженерной инфраструктуры для жилищного строительства;</w:t>
      </w:r>
    </w:p>
    <w:p w:rsidR="00FF7977" w:rsidRPr="00F723EC" w:rsidRDefault="00FF7977" w:rsidP="00446124">
      <w:pPr>
        <w:widowControl/>
        <w:ind w:firstLine="1276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стимулирование программ жилищного строительства; </w:t>
      </w:r>
    </w:p>
    <w:p w:rsidR="00FF7977" w:rsidRPr="00F723EC" w:rsidRDefault="00FF7977" w:rsidP="00446124">
      <w:pPr>
        <w:widowControl/>
        <w:ind w:firstLine="1276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переселение граждан из аварийного жилищного фонда и др.</w:t>
      </w:r>
    </w:p>
    <w:p w:rsidR="00FF7977" w:rsidRPr="00F723EC" w:rsidRDefault="00446124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 w:rsidR="00FF7977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развитие дорожной инфраструктуры, сохранение и повышение транспортно-эксплуатационного состояния сети автодорог за счёт своевременного проведения комплекса работ по содержанию и ремонту дорог, обеспечивающ</w:t>
      </w:r>
      <w:r w:rsidR="004B1274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="00FF7977"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безопасные перевозки пассажиров, сохранение и поддержание достигнутого состояния автомобильных дорог.</w:t>
      </w:r>
    </w:p>
    <w:p w:rsidR="003D5D08" w:rsidRPr="00F723EC" w:rsidRDefault="003D5D08" w:rsidP="003D5D0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С 2023 года предусматриваются средства на модернизацию лифтов и лифтового оборудования</w:t>
      </w:r>
      <w:r w:rsidR="0044612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F7977" w:rsidRPr="00F723EC" w:rsidRDefault="00FF7977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723EC">
        <w:rPr>
          <w:rFonts w:ascii="Times New Roman" w:eastAsia="Calibri" w:hAnsi="Times New Roman" w:cs="Times New Roman"/>
          <w:color w:val="auto"/>
          <w:sz w:val="28"/>
          <w:szCs w:val="28"/>
        </w:rPr>
        <w:t>Планируется также продолжить реализацию инвестиционных проектов по развитию дорожной инфраструктуры.</w:t>
      </w:r>
    </w:p>
    <w:p w:rsidR="00710433" w:rsidRPr="00F723EC" w:rsidRDefault="00710433" w:rsidP="00C94BC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17522" w:rsidRPr="006D7635" w:rsidRDefault="00817522" w:rsidP="00817522">
      <w:pPr>
        <w:widowControl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94A">
        <w:rPr>
          <w:rFonts w:ascii="Times New Roman" w:eastAsia="Calibri" w:hAnsi="Times New Roman" w:cs="Times New Roman"/>
          <w:sz w:val="28"/>
          <w:szCs w:val="28"/>
        </w:rPr>
        <w:t>Долговая политика является составной</w:t>
      </w:r>
      <w:r w:rsidRPr="006D7635">
        <w:rPr>
          <w:rFonts w:ascii="Times New Roman" w:eastAsia="Calibri" w:hAnsi="Times New Roman" w:cs="Times New Roman"/>
          <w:sz w:val="28"/>
          <w:szCs w:val="28"/>
        </w:rPr>
        <w:t xml:space="preserve"> частью бюджетной политики города Чебоксары.</w:t>
      </w:r>
    </w:p>
    <w:p w:rsidR="00817522" w:rsidRPr="006D7635" w:rsidRDefault="00817522" w:rsidP="00817522">
      <w:pPr>
        <w:widowControl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35">
        <w:rPr>
          <w:rFonts w:ascii="Times New Roman" w:eastAsia="Calibri" w:hAnsi="Times New Roman" w:cs="Times New Roman"/>
          <w:sz w:val="28"/>
          <w:szCs w:val="28"/>
        </w:rPr>
        <w:t>Долговая политика на 2023 год и на плановый период 2024 и 2025 годов, как и в предыдущие годы, будет направлена на обеспечение сбалансированности и устойчивости бюджета, поддержание экономически обоснованного объема муниципального долга города Чебоксары на безопасном уровне.</w:t>
      </w:r>
    </w:p>
    <w:p w:rsidR="00817522" w:rsidRPr="006D7635" w:rsidRDefault="0081752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color w:val="000000"/>
          <w:sz w:val="28"/>
          <w:szCs w:val="28"/>
        </w:rPr>
        <w:t xml:space="preserve">Основными задачами долговой политики являются: 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своевременное исполнение долговых обязательств</w:t>
      </w:r>
      <w:bookmarkStart w:id="0" w:name="_GoBack"/>
      <w:bookmarkEnd w:id="0"/>
      <w:r w:rsidR="00817522" w:rsidRPr="006D7635">
        <w:rPr>
          <w:rFonts w:eastAsia="Calibri"/>
          <w:color w:val="000000"/>
          <w:sz w:val="28"/>
          <w:szCs w:val="28"/>
        </w:rPr>
        <w:t xml:space="preserve"> города Чебоксары;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lastRenderedPageBreak/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мониторинг соблюдения ограничений, установленных Бюджетным кодексом Российской Федерации;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оптимизация структуры муниципального долга города Чебоксары путем замещения рыночного долга бюджетными кредитами; 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минимизация расходов на обслуживание муниципального долга города Чебоксары; 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недопущени</w:t>
      </w:r>
      <w:r w:rsidR="00AE45D7">
        <w:rPr>
          <w:rFonts w:eastAsia="Calibri"/>
          <w:color w:val="000000"/>
          <w:sz w:val="28"/>
          <w:szCs w:val="28"/>
        </w:rPr>
        <w:t>я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принятия новых расходных обязательств, не обеспеченных источниками финансирования;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приостановление предоставлений муниципальных гарантий города Чебоксары на 2023 год и на плановый период 2024 и 2025 годы; 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сохранение благоприятной кредитной истории муниципального образования города Чебоксары как надежного заемщика;</w:t>
      </w:r>
    </w:p>
    <w:p w:rsidR="00817522" w:rsidRPr="006D7635" w:rsidRDefault="009B22F2" w:rsidP="00817522">
      <w:pPr>
        <w:pStyle w:val="ae"/>
        <w:spacing w:before="0" w:beforeAutospacing="0"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D7635">
        <w:rPr>
          <w:rFonts w:eastAsia="Calibri"/>
          <w:sz w:val="28"/>
          <w:szCs w:val="28"/>
        </w:rPr>
        <w:t>–</w:t>
      </w:r>
      <w:r w:rsidR="00817522" w:rsidRPr="006D7635">
        <w:rPr>
          <w:rFonts w:eastAsia="Calibri"/>
          <w:color w:val="000000"/>
          <w:sz w:val="28"/>
          <w:szCs w:val="28"/>
        </w:rPr>
        <w:t xml:space="preserve"> обеспечение доступности информации о муниципальном долге города Чебоксары;</w:t>
      </w:r>
    </w:p>
    <w:p w:rsidR="00817522" w:rsidRPr="006D7635" w:rsidRDefault="009B22F2" w:rsidP="008175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35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обеспечение </w:t>
      </w:r>
      <w:proofErr w:type="spellStart"/>
      <w:r w:rsidR="00817522" w:rsidRPr="006D7635">
        <w:rPr>
          <w:rFonts w:ascii="Times New Roman" w:eastAsia="Calibri" w:hAnsi="Times New Roman" w:cs="Times New Roman"/>
          <w:sz w:val="28"/>
          <w:szCs w:val="28"/>
        </w:rPr>
        <w:t>непревышени</w:t>
      </w:r>
      <w:r w:rsidR="00934805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показателя «Объем муниципального долга к общему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лиц» в очередном финансовом году по сравнению с показателем в текущем финансовом году; </w:t>
      </w:r>
    </w:p>
    <w:p w:rsidR="00817522" w:rsidRPr="006D7635" w:rsidRDefault="009B22F2" w:rsidP="00817522">
      <w:pPr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635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обеспечение </w:t>
      </w:r>
      <w:proofErr w:type="spellStart"/>
      <w:r w:rsidR="00817522" w:rsidRPr="006D7635">
        <w:rPr>
          <w:rFonts w:ascii="Times New Roman" w:eastAsia="Calibri" w:hAnsi="Times New Roman" w:cs="Times New Roman"/>
          <w:sz w:val="28"/>
          <w:szCs w:val="28"/>
        </w:rPr>
        <w:t>непревышени</w:t>
      </w:r>
      <w:r w:rsidR="00934805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значений показателя «Объем муниципального долга по рыночным заимствованиям муниципального образования к общему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лиц»: на 1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 xml:space="preserve"> января 2024 года не более 30,4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>%, на 1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 xml:space="preserve"> января 2025 года не более 38,5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>%, на 1 января 2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>026 года</w:t>
      </w:r>
      <w:proofErr w:type="gramEnd"/>
      <w:r w:rsidR="00617E3D" w:rsidRPr="006D7635">
        <w:rPr>
          <w:rFonts w:ascii="Times New Roman" w:eastAsia="Calibri" w:hAnsi="Times New Roman" w:cs="Times New Roman"/>
          <w:sz w:val="28"/>
          <w:szCs w:val="28"/>
        </w:rPr>
        <w:t xml:space="preserve"> не более 45,2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817522" w:rsidRPr="006D7635" w:rsidRDefault="00DC0551" w:rsidP="008175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35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обеспечение возможности привлечения в бюджет города Чебоксары кредитов от кредитных организаций исключительно по ставкам на уровне не более чем уровень ключевой ставки, установленный Центральным банком </w:t>
      </w:r>
      <w:r w:rsidR="009B0071">
        <w:rPr>
          <w:rFonts w:ascii="Times New Roman" w:eastAsia="Calibri" w:hAnsi="Times New Roman" w:cs="Times New Roman"/>
          <w:sz w:val="28"/>
          <w:szCs w:val="28"/>
        </w:rPr>
        <w:t>Российской Федерации, увеличенно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>й на 1 процент годовых.</w:t>
      </w:r>
    </w:p>
    <w:p w:rsidR="00817522" w:rsidRPr="006D7635" w:rsidRDefault="00817522" w:rsidP="00817522">
      <w:pPr>
        <w:widowControl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35">
        <w:rPr>
          <w:rFonts w:ascii="Times New Roman" w:eastAsia="Calibri" w:hAnsi="Times New Roman" w:cs="Times New Roman"/>
          <w:sz w:val="28"/>
          <w:szCs w:val="28"/>
        </w:rPr>
        <w:t>С учетом этого планируется обеспечить дефицит бюджета в 2023</w:t>
      </w:r>
      <w:r w:rsidR="003A1089"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3A1089">
        <w:rPr>
          <w:rFonts w:ascii="Times New Roman" w:eastAsia="Calibri" w:hAnsi="Times New Roman" w:cs="Times New Roman"/>
          <w:sz w:val="28"/>
          <w:szCs w:val="28"/>
        </w:rPr>
        <w:t xml:space="preserve">годах </w:t>
      </w:r>
      <w:r w:rsidR="000058E5" w:rsidRPr="006D7635">
        <w:rPr>
          <w:rFonts w:ascii="Times New Roman" w:eastAsia="Calibri" w:hAnsi="Times New Roman" w:cs="Times New Roman"/>
          <w:sz w:val="28"/>
          <w:szCs w:val="28"/>
        </w:rPr>
        <w:t>на уровне 7,6%, 1,2% к собственным доходам бюджета</w:t>
      </w:r>
      <w:r w:rsidR="00934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805" w:rsidRPr="006D7635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="000058E5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>2025 год</w:t>
      </w:r>
      <w:r w:rsidR="000058E5">
        <w:rPr>
          <w:rFonts w:ascii="Times New Roman" w:eastAsia="Calibri" w:hAnsi="Times New Roman" w:cs="Times New Roman"/>
          <w:sz w:val="28"/>
          <w:szCs w:val="28"/>
        </w:rPr>
        <w:t xml:space="preserve">у планируется профицит. </w:t>
      </w:r>
    </w:p>
    <w:p w:rsidR="00817522" w:rsidRPr="006D7635" w:rsidRDefault="00096BA8" w:rsidP="00817522">
      <w:pPr>
        <w:widowControl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долг города Чебоксары на 1 января 2024 года, на 1 января 2025 года и на 1 января 2026 года устанавливается на уровне 3 003,2 </w:t>
      </w:r>
      <w:proofErr w:type="gramStart"/>
      <w:r w:rsidR="00817522" w:rsidRPr="006D763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рублей, 3 066,1 млн рублей и 3</w:t>
      </w:r>
      <w:r w:rsidR="000058E5">
        <w:rPr>
          <w:rFonts w:ascii="Times New Roman" w:eastAsia="Calibri" w:hAnsi="Times New Roman" w:cs="Times New Roman"/>
          <w:sz w:val="28"/>
          <w:szCs w:val="28"/>
        </w:rPr>
        <w:t> 014,2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 млн рублей, что </w:t>
      </w:r>
      <w:r w:rsidR="00934805" w:rsidRPr="006D7635">
        <w:rPr>
          <w:rFonts w:ascii="Times New Roman" w:eastAsia="Calibri" w:hAnsi="Times New Roman" w:cs="Times New Roman"/>
          <w:sz w:val="28"/>
          <w:szCs w:val="28"/>
        </w:rPr>
        <w:t xml:space="preserve">соответственно 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>составит к собственным доходам 59,5 %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>, 59,5% и 5</w:t>
      </w:r>
      <w:r w:rsidR="000058E5">
        <w:rPr>
          <w:rFonts w:ascii="Times New Roman" w:eastAsia="Calibri" w:hAnsi="Times New Roman" w:cs="Times New Roman"/>
          <w:sz w:val="28"/>
          <w:szCs w:val="28"/>
        </w:rPr>
        <w:t>6</w:t>
      </w:r>
      <w:r w:rsidR="00617E3D" w:rsidRPr="006D7635">
        <w:rPr>
          <w:rFonts w:ascii="Times New Roman" w:eastAsia="Calibri" w:hAnsi="Times New Roman" w:cs="Times New Roman"/>
          <w:sz w:val="28"/>
          <w:szCs w:val="28"/>
        </w:rPr>
        <w:t>,</w:t>
      </w:r>
      <w:r w:rsidR="000058E5">
        <w:rPr>
          <w:rFonts w:ascii="Times New Roman" w:eastAsia="Calibri" w:hAnsi="Times New Roman" w:cs="Times New Roman"/>
          <w:sz w:val="28"/>
          <w:szCs w:val="28"/>
        </w:rPr>
        <w:t>2</w:t>
      </w:r>
      <w:r w:rsidR="00817522" w:rsidRPr="006D7635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817522" w:rsidRPr="00817522" w:rsidRDefault="00817522" w:rsidP="00817522">
      <w:pPr>
        <w:widowControl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35">
        <w:rPr>
          <w:rFonts w:ascii="Times New Roman" w:eastAsia="Calibri" w:hAnsi="Times New Roman" w:cs="Times New Roman"/>
          <w:sz w:val="28"/>
          <w:szCs w:val="28"/>
        </w:rPr>
        <w:t>Указанные показатели соответствуют условиям соглашени</w:t>
      </w:r>
      <w:r w:rsidR="00D6220D" w:rsidRPr="006D7635">
        <w:rPr>
          <w:rFonts w:ascii="Times New Roman" w:eastAsia="Calibri" w:hAnsi="Times New Roman" w:cs="Times New Roman"/>
          <w:sz w:val="28"/>
          <w:szCs w:val="28"/>
        </w:rPr>
        <w:t>й, заключенных между А</w:t>
      </w:r>
      <w:r w:rsidRPr="006D7635">
        <w:rPr>
          <w:rFonts w:ascii="Times New Roman" w:eastAsia="Calibri" w:hAnsi="Times New Roman" w:cs="Times New Roman"/>
          <w:sz w:val="28"/>
          <w:szCs w:val="28"/>
        </w:rPr>
        <w:t>дминистрацией города Чебоксары и Министерством финансов Чувашской Республикой.</w:t>
      </w:r>
    </w:p>
    <w:sectPr w:rsidR="00817522" w:rsidRPr="00817522" w:rsidSect="00DD4A3D">
      <w:headerReference w:type="default" r:id="rId10"/>
      <w:headerReference w:type="first" r:id="rId11"/>
      <w:pgSz w:w="11900" w:h="16840"/>
      <w:pgMar w:top="1134" w:right="851" w:bottom="85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89" w:rsidRDefault="005C2A89">
      <w:r>
        <w:separator/>
      </w:r>
    </w:p>
  </w:endnote>
  <w:endnote w:type="continuationSeparator" w:id="0">
    <w:p w:rsidR="005C2A89" w:rsidRDefault="005C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89" w:rsidRDefault="005C2A89"/>
  </w:footnote>
  <w:footnote w:type="continuationSeparator" w:id="0">
    <w:p w:rsidR="005C2A89" w:rsidRDefault="005C2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65" w:rsidRDefault="00FB456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3EF186" wp14:editId="07C44F64">
              <wp:simplePos x="0" y="0"/>
              <wp:positionH relativeFrom="page">
                <wp:posOffset>4380230</wp:posOffset>
              </wp:positionH>
              <wp:positionV relativeFrom="page">
                <wp:posOffset>412115</wp:posOffset>
              </wp:positionV>
              <wp:extent cx="14605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565" w:rsidRDefault="00FB4565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694A" w:rsidRPr="0095694A">
                            <w:rPr>
                              <w:noProof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44.9pt;margin-top:32.45pt;width:11.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" filled="f" stroked="f">
              <v:textbox style="mso-fit-shape-to-text:t" inset="0,0,0,0">
                <w:txbxContent>
                  <w:p w:rsidR="00FB4565" w:rsidRDefault="00FB4565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694A" w:rsidRPr="0095694A">
                      <w:rPr>
                        <w:noProof/>
                        <w:sz w:val="26"/>
                        <w:szCs w:val="26"/>
                      </w:rPr>
                      <w:t>6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65" w:rsidRDefault="00FB456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4B6"/>
    <w:multiLevelType w:val="multilevel"/>
    <w:tmpl w:val="3ABEE7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6BC2"/>
    <w:multiLevelType w:val="multilevel"/>
    <w:tmpl w:val="A24AA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5307A"/>
    <w:multiLevelType w:val="hybridMultilevel"/>
    <w:tmpl w:val="385CB064"/>
    <w:lvl w:ilvl="0" w:tplc="487C2D18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522F120F"/>
    <w:multiLevelType w:val="multilevel"/>
    <w:tmpl w:val="DB7CA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97"/>
    <w:rsid w:val="0000361E"/>
    <w:rsid w:val="00005102"/>
    <w:rsid w:val="000058E5"/>
    <w:rsid w:val="00011CF2"/>
    <w:rsid w:val="00021664"/>
    <w:rsid w:val="00023DA7"/>
    <w:rsid w:val="00024D1F"/>
    <w:rsid w:val="0003182A"/>
    <w:rsid w:val="00033C11"/>
    <w:rsid w:val="000363AF"/>
    <w:rsid w:val="0004321F"/>
    <w:rsid w:val="00051DD7"/>
    <w:rsid w:val="000544D0"/>
    <w:rsid w:val="00065ABF"/>
    <w:rsid w:val="00066497"/>
    <w:rsid w:val="000754D1"/>
    <w:rsid w:val="000850F5"/>
    <w:rsid w:val="00096BA8"/>
    <w:rsid w:val="000A5C05"/>
    <w:rsid w:val="000A6E6B"/>
    <w:rsid w:val="000C3E33"/>
    <w:rsid w:val="000C61C6"/>
    <w:rsid w:val="000E6C5B"/>
    <w:rsid w:val="000F66AA"/>
    <w:rsid w:val="001016E3"/>
    <w:rsid w:val="00105151"/>
    <w:rsid w:val="001214C8"/>
    <w:rsid w:val="00125B3D"/>
    <w:rsid w:val="00170C4B"/>
    <w:rsid w:val="0017426B"/>
    <w:rsid w:val="00180993"/>
    <w:rsid w:val="00190BE0"/>
    <w:rsid w:val="00191D05"/>
    <w:rsid w:val="00197AE0"/>
    <w:rsid w:val="001A0586"/>
    <w:rsid w:val="001B3BA4"/>
    <w:rsid w:val="001B65F2"/>
    <w:rsid w:val="001C2B41"/>
    <w:rsid w:val="001D03CC"/>
    <w:rsid w:val="001E3C24"/>
    <w:rsid w:val="00202183"/>
    <w:rsid w:val="00223B72"/>
    <w:rsid w:val="00224080"/>
    <w:rsid w:val="00225A0D"/>
    <w:rsid w:val="00230004"/>
    <w:rsid w:val="00253BFC"/>
    <w:rsid w:val="002664F7"/>
    <w:rsid w:val="002807BA"/>
    <w:rsid w:val="002810FF"/>
    <w:rsid w:val="00284729"/>
    <w:rsid w:val="002A7896"/>
    <w:rsid w:val="002C0BFE"/>
    <w:rsid w:val="002D33AD"/>
    <w:rsid w:val="002E10F8"/>
    <w:rsid w:val="002E1C5B"/>
    <w:rsid w:val="002E52F6"/>
    <w:rsid w:val="002F5143"/>
    <w:rsid w:val="00305529"/>
    <w:rsid w:val="00317C18"/>
    <w:rsid w:val="003215B1"/>
    <w:rsid w:val="00325FD2"/>
    <w:rsid w:val="00331A1F"/>
    <w:rsid w:val="00370AB3"/>
    <w:rsid w:val="00374858"/>
    <w:rsid w:val="00376E79"/>
    <w:rsid w:val="00386F0A"/>
    <w:rsid w:val="00390711"/>
    <w:rsid w:val="003A1089"/>
    <w:rsid w:val="003A286E"/>
    <w:rsid w:val="003B1082"/>
    <w:rsid w:val="003B6080"/>
    <w:rsid w:val="003C0825"/>
    <w:rsid w:val="003C0DB4"/>
    <w:rsid w:val="003C3905"/>
    <w:rsid w:val="003D5D08"/>
    <w:rsid w:val="003D7F83"/>
    <w:rsid w:val="003E609C"/>
    <w:rsid w:val="003F480B"/>
    <w:rsid w:val="00406E9F"/>
    <w:rsid w:val="00413B55"/>
    <w:rsid w:val="004164E5"/>
    <w:rsid w:val="00430636"/>
    <w:rsid w:val="00446124"/>
    <w:rsid w:val="00454D04"/>
    <w:rsid w:val="00475E1C"/>
    <w:rsid w:val="004908A8"/>
    <w:rsid w:val="00492451"/>
    <w:rsid w:val="004B1274"/>
    <w:rsid w:val="004D25A1"/>
    <w:rsid w:val="004D6CBE"/>
    <w:rsid w:val="005061D9"/>
    <w:rsid w:val="00550538"/>
    <w:rsid w:val="005533CB"/>
    <w:rsid w:val="00553E97"/>
    <w:rsid w:val="00560532"/>
    <w:rsid w:val="00564E8F"/>
    <w:rsid w:val="00572826"/>
    <w:rsid w:val="005B784D"/>
    <w:rsid w:val="005C2A89"/>
    <w:rsid w:val="005D3D69"/>
    <w:rsid w:val="005E1FE9"/>
    <w:rsid w:val="005E2B7D"/>
    <w:rsid w:val="005F2897"/>
    <w:rsid w:val="005F74DC"/>
    <w:rsid w:val="00617E3D"/>
    <w:rsid w:val="006574AC"/>
    <w:rsid w:val="00677AE8"/>
    <w:rsid w:val="006819A0"/>
    <w:rsid w:val="0068398D"/>
    <w:rsid w:val="00686FAE"/>
    <w:rsid w:val="00696C23"/>
    <w:rsid w:val="006B48D9"/>
    <w:rsid w:val="006B64B4"/>
    <w:rsid w:val="006C1CC1"/>
    <w:rsid w:val="006D7635"/>
    <w:rsid w:val="006F1D39"/>
    <w:rsid w:val="006F27AB"/>
    <w:rsid w:val="006F31F1"/>
    <w:rsid w:val="007035AE"/>
    <w:rsid w:val="00707A8A"/>
    <w:rsid w:val="00710433"/>
    <w:rsid w:val="00724A5C"/>
    <w:rsid w:val="00767E99"/>
    <w:rsid w:val="007A34FC"/>
    <w:rsid w:val="007B7058"/>
    <w:rsid w:val="007C2B56"/>
    <w:rsid w:val="007C63E8"/>
    <w:rsid w:val="007E5659"/>
    <w:rsid w:val="0080053E"/>
    <w:rsid w:val="00814B56"/>
    <w:rsid w:val="00817522"/>
    <w:rsid w:val="008175FB"/>
    <w:rsid w:val="008274E9"/>
    <w:rsid w:val="00855A2E"/>
    <w:rsid w:val="00856529"/>
    <w:rsid w:val="0086192C"/>
    <w:rsid w:val="008668F8"/>
    <w:rsid w:val="00873345"/>
    <w:rsid w:val="008762FC"/>
    <w:rsid w:val="00881618"/>
    <w:rsid w:val="0088750F"/>
    <w:rsid w:val="008963E1"/>
    <w:rsid w:val="008A53CE"/>
    <w:rsid w:val="008B025D"/>
    <w:rsid w:val="008C7B5B"/>
    <w:rsid w:val="008F27BF"/>
    <w:rsid w:val="00927C0C"/>
    <w:rsid w:val="00934805"/>
    <w:rsid w:val="009375AF"/>
    <w:rsid w:val="00944C3F"/>
    <w:rsid w:val="00950A2A"/>
    <w:rsid w:val="00955BCB"/>
    <w:rsid w:val="0095694A"/>
    <w:rsid w:val="009572D7"/>
    <w:rsid w:val="00960687"/>
    <w:rsid w:val="00985758"/>
    <w:rsid w:val="009A4098"/>
    <w:rsid w:val="009A4DEA"/>
    <w:rsid w:val="009B0071"/>
    <w:rsid w:val="009B163A"/>
    <w:rsid w:val="009B22F2"/>
    <w:rsid w:val="009B5BC8"/>
    <w:rsid w:val="009E2483"/>
    <w:rsid w:val="009E3EE9"/>
    <w:rsid w:val="009E6024"/>
    <w:rsid w:val="009E66F5"/>
    <w:rsid w:val="009E7D8B"/>
    <w:rsid w:val="009F06AB"/>
    <w:rsid w:val="009F652B"/>
    <w:rsid w:val="00A06574"/>
    <w:rsid w:val="00A42620"/>
    <w:rsid w:val="00A53265"/>
    <w:rsid w:val="00A57676"/>
    <w:rsid w:val="00A8530F"/>
    <w:rsid w:val="00A9155F"/>
    <w:rsid w:val="00A925C1"/>
    <w:rsid w:val="00AB41E6"/>
    <w:rsid w:val="00AD04E2"/>
    <w:rsid w:val="00AE45D7"/>
    <w:rsid w:val="00B02789"/>
    <w:rsid w:val="00B25732"/>
    <w:rsid w:val="00B330D7"/>
    <w:rsid w:val="00B47737"/>
    <w:rsid w:val="00B719BA"/>
    <w:rsid w:val="00B7396D"/>
    <w:rsid w:val="00B854C7"/>
    <w:rsid w:val="00B95D43"/>
    <w:rsid w:val="00B97AF8"/>
    <w:rsid w:val="00BA695F"/>
    <w:rsid w:val="00BB1719"/>
    <w:rsid w:val="00BB26F6"/>
    <w:rsid w:val="00BB6491"/>
    <w:rsid w:val="00BE2207"/>
    <w:rsid w:val="00BE53A9"/>
    <w:rsid w:val="00BE775F"/>
    <w:rsid w:val="00C07AF5"/>
    <w:rsid w:val="00C1026A"/>
    <w:rsid w:val="00C13D8B"/>
    <w:rsid w:val="00C21A9C"/>
    <w:rsid w:val="00C357B8"/>
    <w:rsid w:val="00C402E0"/>
    <w:rsid w:val="00C4372D"/>
    <w:rsid w:val="00C451A2"/>
    <w:rsid w:val="00C5046B"/>
    <w:rsid w:val="00C51A31"/>
    <w:rsid w:val="00C5386C"/>
    <w:rsid w:val="00C56C3C"/>
    <w:rsid w:val="00C57345"/>
    <w:rsid w:val="00C74BEC"/>
    <w:rsid w:val="00C94085"/>
    <w:rsid w:val="00C94BC9"/>
    <w:rsid w:val="00CA0D3E"/>
    <w:rsid w:val="00CA4123"/>
    <w:rsid w:val="00CB3502"/>
    <w:rsid w:val="00CB3DDC"/>
    <w:rsid w:val="00CD2063"/>
    <w:rsid w:val="00CE0331"/>
    <w:rsid w:val="00CE2257"/>
    <w:rsid w:val="00CF48D7"/>
    <w:rsid w:val="00CF712C"/>
    <w:rsid w:val="00D03009"/>
    <w:rsid w:val="00D05103"/>
    <w:rsid w:val="00D0512A"/>
    <w:rsid w:val="00D222D8"/>
    <w:rsid w:val="00D254B9"/>
    <w:rsid w:val="00D326AD"/>
    <w:rsid w:val="00D3298C"/>
    <w:rsid w:val="00D5566D"/>
    <w:rsid w:val="00D6066B"/>
    <w:rsid w:val="00D6220D"/>
    <w:rsid w:val="00D74824"/>
    <w:rsid w:val="00D935AE"/>
    <w:rsid w:val="00DA2F8D"/>
    <w:rsid w:val="00DB784F"/>
    <w:rsid w:val="00DC0551"/>
    <w:rsid w:val="00DC0E60"/>
    <w:rsid w:val="00DD4A3D"/>
    <w:rsid w:val="00DF6760"/>
    <w:rsid w:val="00E2086C"/>
    <w:rsid w:val="00E20E61"/>
    <w:rsid w:val="00E370EE"/>
    <w:rsid w:val="00E40ED6"/>
    <w:rsid w:val="00E429E4"/>
    <w:rsid w:val="00E502FB"/>
    <w:rsid w:val="00E50AE9"/>
    <w:rsid w:val="00E60907"/>
    <w:rsid w:val="00E75921"/>
    <w:rsid w:val="00E82AC0"/>
    <w:rsid w:val="00E8579D"/>
    <w:rsid w:val="00E93B4C"/>
    <w:rsid w:val="00E9516C"/>
    <w:rsid w:val="00EA306D"/>
    <w:rsid w:val="00EB6C30"/>
    <w:rsid w:val="00ED5791"/>
    <w:rsid w:val="00EF3504"/>
    <w:rsid w:val="00EF4389"/>
    <w:rsid w:val="00F03D73"/>
    <w:rsid w:val="00F04CFC"/>
    <w:rsid w:val="00F05FC3"/>
    <w:rsid w:val="00F2152A"/>
    <w:rsid w:val="00F67FDC"/>
    <w:rsid w:val="00F723EC"/>
    <w:rsid w:val="00F87522"/>
    <w:rsid w:val="00FA3545"/>
    <w:rsid w:val="00FA6DFA"/>
    <w:rsid w:val="00FB4565"/>
    <w:rsid w:val="00FB6106"/>
    <w:rsid w:val="00FE3101"/>
    <w:rsid w:val="00FF0B0F"/>
    <w:rsid w:val="00FF7977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66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6AA"/>
    <w:rPr>
      <w:color w:val="000000"/>
    </w:rPr>
  </w:style>
  <w:style w:type="paragraph" w:styleId="aa">
    <w:name w:val="footer"/>
    <w:basedOn w:val="a"/>
    <w:link w:val="ab"/>
    <w:uiPriority w:val="99"/>
    <w:unhideWhenUsed/>
    <w:rsid w:val="000F66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6A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572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2D7"/>
    <w:rPr>
      <w:rFonts w:ascii="Tahoma" w:hAnsi="Tahoma" w:cs="Tahoma"/>
      <w:color w:val="000000"/>
      <w:sz w:val="16"/>
      <w:szCs w:val="16"/>
    </w:rPr>
  </w:style>
  <w:style w:type="paragraph" w:customStyle="1" w:styleId="pt-a-000029">
    <w:name w:val="pt-a-000029"/>
    <w:basedOn w:val="a"/>
    <w:rsid w:val="00927C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t-a0-000021">
    <w:name w:val="pt-a0-000021"/>
    <w:basedOn w:val="a0"/>
    <w:rsid w:val="00927C0C"/>
  </w:style>
  <w:style w:type="paragraph" w:customStyle="1" w:styleId="pt-a-000041">
    <w:name w:val="pt-a-000041"/>
    <w:basedOn w:val="a"/>
    <w:rsid w:val="00927C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Normal (Web)"/>
    <w:basedOn w:val="a"/>
    <w:link w:val="af"/>
    <w:uiPriority w:val="99"/>
    <w:unhideWhenUsed/>
    <w:rsid w:val="00767E99"/>
    <w:pPr>
      <w:widowControl/>
      <w:spacing w:before="100" w:beforeAutospacing="1" w:after="9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C5046B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af">
    <w:name w:val="Обычный (веб) Знак"/>
    <w:link w:val="ae"/>
    <w:uiPriority w:val="99"/>
    <w:rsid w:val="00FF7977"/>
    <w:rPr>
      <w:rFonts w:ascii="Times New Roman" w:eastAsia="Times New Roman" w:hAnsi="Times New Roman" w:cs="Times New Roman"/>
      <w:lang w:bidi="ar-SA"/>
    </w:rPr>
  </w:style>
  <w:style w:type="paragraph" w:customStyle="1" w:styleId="s1">
    <w:name w:val="s_1"/>
    <w:basedOn w:val="a"/>
    <w:rsid w:val="00FF7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66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6AA"/>
    <w:rPr>
      <w:color w:val="000000"/>
    </w:rPr>
  </w:style>
  <w:style w:type="paragraph" w:styleId="aa">
    <w:name w:val="footer"/>
    <w:basedOn w:val="a"/>
    <w:link w:val="ab"/>
    <w:uiPriority w:val="99"/>
    <w:unhideWhenUsed/>
    <w:rsid w:val="000F66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6A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572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2D7"/>
    <w:rPr>
      <w:rFonts w:ascii="Tahoma" w:hAnsi="Tahoma" w:cs="Tahoma"/>
      <w:color w:val="000000"/>
      <w:sz w:val="16"/>
      <w:szCs w:val="16"/>
    </w:rPr>
  </w:style>
  <w:style w:type="paragraph" w:customStyle="1" w:styleId="pt-a-000029">
    <w:name w:val="pt-a-000029"/>
    <w:basedOn w:val="a"/>
    <w:rsid w:val="00927C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t-a0-000021">
    <w:name w:val="pt-a0-000021"/>
    <w:basedOn w:val="a0"/>
    <w:rsid w:val="00927C0C"/>
  </w:style>
  <w:style w:type="paragraph" w:customStyle="1" w:styleId="pt-a-000041">
    <w:name w:val="pt-a-000041"/>
    <w:basedOn w:val="a"/>
    <w:rsid w:val="00927C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Normal (Web)"/>
    <w:basedOn w:val="a"/>
    <w:link w:val="af"/>
    <w:uiPriority w:val="99"/>
    <w:unhideWhenUsed/>
    <w:rsid w:val="00767E99"/>
    <w:pPr>
      <w:widowControl/>
      <w:spacing w:before="100" w:beforeAutospacing="1" w:after="9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C5046B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af">
    <w:name w:val="Обычный (веб) Знак"/>
    <w:link w:val="ae"/>
    <w:uiPriority w:val="99"/>
    <w:rsid w:val="00FF7977"/>
    <w:rPr>
      <w:rFonts w:ascii="Times New Roman" w:eastAsia="Times New Roman" w:hAnsi="Times New Roman" w:cs="Times New Roman"/>
      <w:lang w:bidi="ar-SA"/>
    </w:rPr>
  </w:style>
  <w:style w:type="paragraph" w:customStyle="1" w:styleId="s1">
    <w:name w:val="s_1"/>
    <w:basedOn w:val="a"/>
    <w:rsid w:val="00FF7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cap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Данилова Марина Валерьевна</cp:lastModifiedBy>
  <cp:revision>144</cp:revision>
  <cp:lastPrinted>2022-11-12T15:49:00Z</cp:lastPrinted>
  <dcterms:created xsi:type="dcterms:W3CDTF">2021-11-02T10:58:00Z</dcterms:created>
  <dcterms:modified xsi:type="dcterms:W3CDTF">2022-11-13T06:56:00Z</dcterms:modified>
</cp:coreProperties>
</file>