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Pr="005027C2" w:rsidRDefault="00CD057C" w:rsidP="00CD057C">
      <w:pPr>
        <w:jc w:val="center"/>
        <w:rPr>
          <w:rFonts w:ascii="Times New Roman" w:hAnsi="Times New Roman"/>
          <w:sz w:val="24"/>
          <w:szCs w:val="24"/>
        </w:rPr>
      </w:pPr>
    </w:p>
    <w:p w:rsidR="00E079AE" w:rsidRPr="005027C2" w:rsidRDefault="00E079AE" w:rsidP="00E0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7C2">
        <w:rPr>
          <w:rFonts w:ascii="Times New Roman" w:hAnsi="Times New Roman"/>
          <w:b/>
          <w:sz w:val="24"/>
          <w:szCs w:val="24"/>
        </w:rPr>
        <w:t>Информация об исполнении плана</w:t>
      </w:r>
    </w:p>
    <w:p w:rsidR="00E079AE" w:rsidRPr="005027C2" w:rsidRDefault="00E079AE" w:rsidP="00E0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7C2">
        <w:rPr>
          <w:rFonts w:ascii="Times New Roman" w:hAnsi="Times New Roman"/>
          <w:b/>
          <w:sz w:val="24"/>
          <w:szCs w:val="24"/>
        </w:rPr>
        <w:t>основных мероприятий по противодействию коррупции</w:t>
      </w:r>
    </w:p>
    <w:p w:rsidR="00CD057C" w:rsidRPr="005027C2" w:rsidRDefault="00E079AE" w:rsidP="00E0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7C2">
        <w:rPr>
          <w:rFonts w:ascii="Times New Roman" w:hAnsi="Times New Roman"/>
          <w:b/>
          <w:sz w:val="24"/>
          <w:szCs w:val="24"/>
        </w:rPr>
        <w:t>в Государственной жилищной инспекции Чувашской Республики за 2022 год</w:t>
      </w:r>
    </w:p>
    <w:p w:rsidR="00CD057C" w:rsidRPr="005027C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37"/>
        <w:gridCol w:w="4774"/>
        <w:gridCol w:w="2542"/>
        <w:gridCol w:w="3392"/>
        <w:gridCol w:w="3676"/>
      </w:tblGrid>
      <w:tr w:rsidR="00CD057C" w:rsidRPr="005027C2" w:rsidTr="00947BF1">
        <w:tc>
          <w:tcPr>
            <w:tcW w:w="637" w:type="dxa"/>
          </w:tcPr>
          <w:p w:rsidR="00CD057C" w:rsidRPr="005027C2" w:rsidRDefault="00CD057C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4" w:type="dxa"/>
          </w:tcPr>
          <w:p w:rsidR="00CD057C" w:rsidRPr="005027C2" w:rsidRDefault="00EE58A6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2" w:type="dxa"/>
          </w:tcPr>
          <w:p w:rsidR="00CD057C" w:rsidRPr="005027C2" w:rsidRDefault="00CD057C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92" w:type="dxa"/>
          </w:tcPr>
          <w:p w:rsidR="00CD057C" w:rsidRPr="005027C2" w:rsidRDefault="00CD057C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3676" w:type="dxa"/>
          </w:tcPr>
          <w:p w:rsidR="00CD057C" w:rsidRPr="005027C2" w:rsidRDefault="00CD057C" w:rsidP="00EE5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EE58A6" w:rsidRPr="005027C2">
              <w:rPr>
                <w:rFonts w:ascii="Times New Roman" w:hAnsi="Times New Roman"/>
                <w:b/>
                <w:sz w:val="24"/>
                <w:szCs w:val="24"/>
              </w:rPr>
              <w:t>выполнении мероприятия</w:t>
            </w:r>
          </w:p>
        </w:tc>
      </w:tr>
      <w:tr w:rsidR="00E079AE" w:rsidRPr="005027C2" w:rsidTr="00947BF1">
        <w:tc>
          <w:tcPr>
            <w:tcW w:w="15021" w:type="dxa"/>
            <w:gridSpan w:val="5"/>
          </w:tcPr>
          <w:p w:rsidR="00E079AE" w:rsidRPr="005027C2" w:rsidRDefault="00E079AE" w:rsidP="00E0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9AE" w:rsidRPr="005027C2" w:rsidRDefault="00E079AE" w:rsidP="00E079AE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027C2">
              <w:rPr>
                <w:b/>
              </w:rPr>
              <w:t>Мероприятия организационного и нормотворческого характера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Представление в Администрацию Главы Чувашской Рес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публики  информации о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зультатах работы комиссии по соблюдению требований к служебному поведению граж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и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конфликта инт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ресов, комиссии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рупции 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542" w:type="dxa"/>
          </w:tcPr>
          <w:p w:rsidR="00E079AE" w:rsidRPr="005027C2" w:rsidRDefault="005D56E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D56E9" w:rsidRPr="005027C2" w:rsidRDefault="005D56E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E079AE" w:rsidRPr="005027C2" w:rsidRDefault="00E079AE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Запросов информации о резул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татах работы комиссии по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блюдению требований к служе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ному поведению граж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и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фликта интересов, комиссии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ствию коррупции 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в 2022 г. не поступало.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Внесение изменений в административные регламенты ис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полнения государственных функций и предоставления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ных услуг 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</w:t>
            </w:r>
          </w:p>
        </w:tc>
        <w:tc>
          <w:tcPr>
            <w:tcW w:w="2542" w:type="dxa"/>
          </w:tcPr>
          <w:p w:rsidR="005D56E9" w:rsidRPr="005027C2" w:rsidRDefault="005D56E9" w:rsidP="005D5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E079AE" w:rsidRPr="005027C2" w:rsidRDefault="005D56E9" w:rsidP="005D5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(по мере необходим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E079AE" w:rsidRPr="005027C2" w:rsidRDefault="00E079AE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2 админ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стративных регламента по предоставлению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ных услуг: </w:t>
            </w:r>
          </w:p>
          <w:p w:rsidR="00E079AE" w:rsidRPr="005027C2" w:rsidRDefault="00E079AE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1) Приказ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от 20 апреля  2022 г.                   № 24-од «Об утверждении 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министративного регламента Государственной жилищной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спекции Чувашской Республики по предоставлению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ственной услуги по лицензир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ванию предпринимательской 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ятельности по управлению мн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гоквартирными домами»;</w:t>
            </w:r>
          </w:p>
          <w:p w:rsidR="00E079AE" w:rsidRPr="005027C2" w:rsidRDefault="00E079AE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2) Приказ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вашии от 11 апреля 2022 г. </w:t>
            </w:r>
            <w:r w:rsidR="005027C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№ 21-од «Об утверждении 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министративного регламента предоставления государственной услуги по аттестации экспертов, привлекаемых Государственной жилищной инспекцией Чува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ской Республики к проведению мероприятий по контролю в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ответствии с Федеральным зак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 «О государственном контр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ле (надзоре) и муниципальном контроле в Российской Федер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7C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Разработка плана основных мероприятий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коррупции на 2023 год</w:t>
            </w:r>
          </w:p>
        </w:tc>
        <w:tc>
          <w:tcPr>
            <w:tcW w:w="2542" w:type="dxa"/>
          </w:tcPr>
          <w:p w:rsidR="00E079AE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079AE" w:rsidRPr="005027C2" w:rsidRDefault="00E079AE" w:rsidP="009A1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от 7 декабря 202</w:t>
            </w:r>
            <w:r w:rsidR="009A17A8">
              <w:rPr>
                <w:rFonts w:ascii="Times New Roman" w:hAnsi="Times New Roman"/>
                <w:sz w:val="24"/>
                <w:szCs w:val="24"/>
              </w:rPr>
              <w:t>2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027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№ 75-од утвержден план осно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мероприятий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коррупции на 2023 год.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вых актов Чуваш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ской Республики по реал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зации решений, принятых на федеральном уровне в целях противодействия коррупции</w:t>
            </w:r>
          </w:p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079AE" w:rsidRPr="005027C2" w:rsidRDefault="005D56E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одного ме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сяца после принятия соответствующих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шений на федерал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E079AE" w:rsidRPr="005027C2" w:rsidRDefault="003D2C99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Чувашской Республики по реализации решений, принятых на федеральном уровне в целях противодействия коррупции, принимаются установленные сроки. 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проектов нормативных прав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 актов, разрабатываемых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спекцией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Чувашии, на официальных сайтах в информационно-телекоммуникационной сети «Интернет» в соответствии с требов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ниями Федерального закона от 9 февраля 2009 г. № 8-ФЗ «Об обеспечении доступа к информации о деятельности государстве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органов и органов местного сам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управления» и постановления Правител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Российской Федерации от 26 февраля 2010 г. № 96 «Об антикоррупционной эк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пертизе нормативных правовых актов и проектов нормативных</w:t>
            </w:r>
            <w:proofErr w:type="gram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правовых актов»</w:t>
            </w:r>
          </w:p>
        </w:tc>
        <w:tc>
          <w:tcPr>
            <w:tcW w:w="2542" w:type="dxa"/>
          </w:tcPr>
          <w:p w:rsidR="005D56E9" w:rsidRPr="005027C2" w:rsidRDefault="005D56E9" w:rsidP="005D5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подготовки проектов нормативно-правовых актов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079AE" w:rsidRPr="005027C2" w:rsidRDefault="003D2C99" w:rsidP="003D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34 проекта нормативных актов, разработанных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Чувашии, были размещены на официальном сайте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спекцией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и  на офиц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альном сайте regulations.cap.ru в информационно-телекоммуникационной сети «Интернет».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по вопросам совершенствования системы мотивации и стимулирования труда государственных гражданских служащих Чувашской Респу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лики, замеща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ющих должности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ственной гражданской службы Чувашской Республики 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одного 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сяца после принятия соответствующих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шений на федерал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ном и региональном уровнях  </w:t>
            </w:r>
          </w:p>
        </w:tc>
        <w:tc>
          <w:tcPr>
            <w:tcW w:w="3392" w:type="dxa"/>
          </w:tcPr>
          <w:p w:rsid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3D2C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Проекты нормативных правовых актов Чувашской Республики по вопросам совершенствования системы мотивации и стимул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рования труда государственных гражданских служащих Чува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замещающих должности государственной гражданской сл</w:t>
            </w:r>
            <w:r w:rsidR="0050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ужбы Чувашской Республики в </w:t>
            </w:r>
            <w:proofErr w:type="spellStart"/>
            <w:r w:rsidR="005027C2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жилинспекции</w:t>
            </w:r>
            <w:proofErr w:type="spellEnd"/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 принимаются устано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ленные сроки.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E079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E079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Антикоррупционная экспертиза нормативных правовых актов и их проектов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вовых актов Чу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вашской Республики (по направлениям деятельности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Чувашии)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разработки проектов нормати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разработки проектов нормативных правовых актов Чувашской Республики пров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дится экспертиза нормативных правовых актов Чувашской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публики (по направлениям 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вашии).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независимых экспе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в проведении антикоррупционной эк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 нормативных правовых актов, их проектов и иных документов, разработа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Госжилинспекцией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Проекты постановлений Кабин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 Министров Чувашской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публики и ведомственных 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мативных правовых актов, 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работанных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Госжилинспекцией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в 2022 г., размещалась на официальном сайте regulations.cap.ru в информац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онно-телекоммуникационной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 «Интернет», а также напра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лялась в электронном виде неп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средственно независимым эк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пертам, включенным в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ственный реестр независимых экспертов, получивших аккред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тацию на проведение антико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рупционной экспертизы норм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тивных правовых актов и их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ектов, действующих на террит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рии Чувашской Республики. </w:t>
            </w:r>
            <w:proofErr w:type="gramEnd"/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E0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E0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Мероприятия по проведению антикоррупционного мониторинга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Анализ обращений граждан на предмет наличия в них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формации о фактах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 со стороны государствен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ных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вашии. Принятие по результатам анализа организационных мер, направленных на предупреждение подобных фактов.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3D2C99" w:rsidP="003D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Обращений граждан на предмет наличия в них информации о фактах коррупции со стороны государственных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не поступало.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ind w:firstLine="1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Проведение антикоррупционного монит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ринга: своевре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менного приведения норм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тивных правовых актов Госу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дарственной жилищной инспекции Чувашской Респу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лики в соответствие с законодательством Российской Федера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ции, обеспечение разр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ботки и реализации антикоррупци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онных программ путем учета коррупционных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вонару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шений, анализ документов, провед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ние опросов и экспе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риментов, обработки, оценки и интерпретации данных о проявл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ниях коррупции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ежеквартально. 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реализации 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тикоррупционных мер,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нимаемых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Госжилинспекцией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Мониторинг эффективности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лизации антикоррупционных мер осуществляется.   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Антикоррупционные мероприятия, проводимые в рамках размещения государственных заказов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Соблюдение положений Федерального 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кона от 5 апреля 2013 г. № 44-ФЗ «О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работ, услуг для государственных и мун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нужд» при проведении закупок для нужд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размещении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дарственного заказа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цен закупаемой продукции 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подготовке док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ментации к размещ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государственного заказа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исключению случаев участия на стороне поставщиков (подрядчиков, исполнителей) в сфере зак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 товаров, работ, услуг для обеспечения государственных нужд близких родстве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ников, а также лиц, которые могут оказать прямое влияние на процесс формирования, размещения и </w:t>
            </w:r>
            <w:proofErr w:type="gram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проведением з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купок, работ, услуг для обеспечения гос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дарственных нужд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подготовке док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ментации к размещ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государственного заказа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Подготовка отчета по эффективности бю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жетных расхо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дов при проведении закупок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 раз в квартал, до 15 числа текущего за 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четным периодом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прохождения повышения кв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лификации,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нальным программам в области против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действия коррупции гражданскими служ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щими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Чувашии, в дол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уч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стие в планировании и осуществлении 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купок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Проведение антикоррупционных мероприятий в рамках реализации кадровой политики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комиссии по соблюде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нию требований к служебному поведению государствен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ных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и урегулирования конфликта интересов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Комиссий по соблюдению треб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ваний к служебному поведению государственных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и урегулирования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фликта интересов проведено 2 заседания.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Анализ уровня профессиональной подг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товки государ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ственных гражданских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жащих, обеспечение повыше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ния их квал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фикации. Проведение аттестации в соответ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ствии с законодательством. Регулярное освещение вопро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сов кадровой политики в средствах массовой информации и сети  Интернет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(по мере необходим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392" w:type="dxa"/>
          </w:tcPr>
          <w:p w:rsidR="00910058" w:rsidRPr="005027C2" w:rsidRDefault="00910058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910058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910058" w:rsidRPr="005027C2" w:rsidRDefault="00910058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рамках государственного зак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 на профессиональную пер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подготовку и повышение квал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фикации за 2022 г. прошли курсы повышения квалификации 23 государственных гражданских служащих. </w:t>
            </w:r>
          </w:p>
          <w:p w:rsidR="003D2C99" w:rsidRPr="005027C2" w:rsidRDefault="00910058" w:rsidP="009A1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вашии от 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>29 сентября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 xml:space="preserve">              № 22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-лс утвержден график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ведения аттестации гражданских служащих Инспекции, сформ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рован перечень документов, 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обходимый для проведения атт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стации. Аттестация проведена </w:t>
            </w:r>
            <w:r w:rsidR="00B633F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16 ноября 2022 г. По результатам проведенной аттестации все гражданские служащие соотве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ствуют замещаемой должности, </w:t>
            </w:r>
            <w:r w:rsidR="009A17A8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граждански</w:t>
            </w:r>
            <w:r w:rsidR="009A17A8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9A17A8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включен в кадровый резерв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в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рядке должностного роста.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прохождения повышения кв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лификации, 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нальным программам в области против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действия коррупции гражданскими служ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щими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Чувашии, в дол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уч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стие в противодействии коррупции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640E3F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640E3F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Повышение квалификации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данских служащих обеспечив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ется.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Формирование кадрового резерва для 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мещения вакант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ных должностей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ственной гражданской службы Чувашской Республики, организация работы по их э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тивному использованию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640E3F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640E3F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2022 г. проведено 4</w:t>
            </w:r>
            <w:r w:rsidR="00BB26F1" w:rsidRPr="005027C2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для включения в кадровый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зерв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на замещение должностей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дарственной гражданской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бы Чувашской Республики кат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гории «специалисты» старшей группы должностей.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Проведение проверок по поступившим с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общениям о фактах обращения в целях склонения гражданских служа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щих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Чувашии к совершению ко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рупци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онных правонарушений, а также на предмет выявления фактов злоупотребл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ния служебными полномочиями гражда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скими служащими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поступлении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ответствующего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общения  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Обращений в целях склонения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к соверш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коррупционных правонар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шений, а также на предмет зл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употребления служебными по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номочиями гражданскими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жащими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не поступало.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Оперативное информирование гражданских служащих 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Чувашии о результатах служебных про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верок, обсто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тельствах совершения коррупционных про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ступков и принятых мерах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выявления коррупционных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ступков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Гражданские служащие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информ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руются о результатах служебных проверок и принятых мерах.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Обеспечение своевременного представл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ния сведений гражданскими служащими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Чувашии, замещающими должности гражданской службы,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об адре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сах сайтов и (или) страниц сайтов в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мационно-теле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коммуникационной сети «Интернет», на которых граждан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ские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жащие размещали общедоступную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мацию, а также данные, позволяющие их идентифицировать, за ис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ключением случ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ев размещения общедоступной информа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 в рамках исполнения должностных обяза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ностей гражданского служащего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В установленные сроки пре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ставлены сведения всеми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данскими служащими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Чувашии, замеща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ю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щими должности гражданской службы, об адресах сайтов и (или) страниц сайтов в информ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«Интернет», на которых гражданские служащие размещ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 общедоступную информацию, а также данные, позволяющие их идентифицировать, за исключ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нием случаев размещения общ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доступной информации в рамках исполнения должностных об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занностей гражданского служ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щего.</w:t>
            </w:r>
            <w:proofErr w:type="gramEnd"/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Обеспечение своевременного представл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ния сведений гражданскими служащими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Чувашии, замещающими должности гражданской службы, при назначении на которые граждане  и при з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мещении кото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рых гражданские служащие обязаны представлять сведе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о своих д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ходах, расходах, об имуществе и обязатель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ствах имущественного характера, а также сведений о до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ходах, расходах, об имущ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стве и обязательствах имуще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ственного х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рактера своих супруги (супруга) и несовер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шеннолетних детей    </w:t>
            </w:r>
            <w:proofErr w:type="gramEnd"/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В установленные сроки пре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ставлены сведения всеми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данскими служащими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Чувашии, замеща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ю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щими должности гражданской службы, при назначении на 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торые граждане  и при замещ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нии которых гражданские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жащие обязаны представлять сведения о своих доходах, расх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дах, об имуществе и обязател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а также сведений о до-ходах, расходах, об имуществе и обяз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тельствах имущественного х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рактера своих супруги (супруга) и несовершеннолетних детей.    </w:t>
            </w:r>
            <w:proofErr w:type="gramEnd"/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Ознакомление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с новыми 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мативными правовыми актами в сфере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тиводействия коррупции, в том числе с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зованием электронной почты, локал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ной сети и сайта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шии 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15 дней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сле принятия норм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  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вовой работы </w:t>
            </w:r>
          </w:p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Мероприятия осуществляются в установленные сроки.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доведения до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гражданских служащих Чувашской Республики и лиц, претендующих на зам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щение должностей государственной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данской службы Чувашской Республики 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вашии, предусмо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ренных законодательством Российской Ф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дерации и Чувашской Республики требов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ний к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жебному поведению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ственных гражданских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жащих Чува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ской Республики. Консультационная по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мощь государственным гражданским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жащим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по 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просам, связанным с примене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нием на пра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тике требований к служебному поведению и общих принципов служебного поведения государственных гражданских служащих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Мероприятия осуществляются по мере обращений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Чу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вашии сведений о доходах, расходах гражданских служа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щих </w:t>
            </w:r>
            <w:proofErr w:type="spell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 xml:space="preserve"> Чувашии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Сведения размещены в устано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ленные сроки.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водействия коррупции, в том числе кас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ющихся получения подарков отдельными кате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гори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ями лиц, выполнения иной оплач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ваемой работы, обя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ности уведомлять об обраще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ниях в целях склонения к со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вершению коррупционных пра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Фактов несоблюдения запретов, ограничений и требований, уст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новленных в целях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ствия коррупции, в том числе касающихся получения подарков отдельными категориями лиц, выполнения иной оплачиваемой работы не выявлено.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Осуществление комплекса организацио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ных, разъясни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и иных мер по с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блюдению государственными гражданск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ми служащими Чувашской Республики огра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ничений, касающихся получения п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дарков, в том числе направленных на фо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мирование негативного отношения к дар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нию подарков в связи с исполнением ук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занными служащими своих обязанностей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Комплекс организационных, разъяснительных и иных мер по соблюдению государственными гражданскими служащими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 огранич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ний, касающихся получения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дарков, в том числе направле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на формирование негативн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го отношения к дарению пода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ков в связи с исполнением ук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занными служащими своих об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занностей, осуществляется в форме ознакомления с нормами законодательства в сфере прот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водействия коррупции.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гражданских служащих на курсы повышения квалификации, в планы которых включены вопросы по соблюд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ограничений, запретов и исполнению обязанностей, установленных в целях пр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тиводействия коррупции, в том числе огр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ничений, касающихся получения подарков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Повышение квалификации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данских служащих обеспечив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Рассмотрение уведомлений от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ственных граждан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о случаях по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лучения подарка в связи с протокольными меропр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тиями,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жебными командировками и другими официальными мероприятиями, уча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стие в кото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рых связано с исполнением ими служебных (должностных) обязанн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поступлении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ответствующего 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домления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Уведомлений от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о случаях получения подарка в связи с протокольными меропр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ятиями, служебными команд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ровками и другими официал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ными мероприятиями, участие в которых связано с исполнением ими служебных (должностных) обязанностей, не поступало.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Организация работы по форми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рованию у государственных гражданских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отри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тельного отношения к корруп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74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 государственными гражда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скими служащими проводятся разъяснительные беседы по 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просам противодействия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 и мерах ответственности за совершение коррупционных правонарушений, по соблюд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ограничений и запретов, связанных с прохождением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дарственной гражданской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работы по разъяснению гра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данским служащим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вашии, увольняющимся с гражданской службы, о соблюдении требований де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ствующего законодательства, связанных с трудоустройством после увольнения с гражданской службы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При увольнении гражданские служащие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вашии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ознакамливаются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мяткой государственному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данскому служащему Чувашской Республики, планирующему увольнение с государственной гражданской службы Чувашской Республики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Участие лиц, впервые поступивших на го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ударственную службу 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Госжилинспекцию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на должности, связанные с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блюдением антикоррупционных станда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тов, в мероприятиях по профессиональному развитию в области противодействия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7467B7" w:rsidRPr="005027C2" w:rsidRDefault="007467B7" w:rsidP="0074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7467B7" w:rsidP="0074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7467B7" w:rsidP="0074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ind w:firstLine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ind w:firstLine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Внедрение внутреннего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блюдением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ударственными гражда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скими служащими Чувашской Республики ограничений, предусмотренных законод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ством о государственной гражданской службе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7467B7" w:rsidP="0074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 Руководители структурных подразделений</w:t>
            </w:r>
          </w:p>
        </w:tc>
        <w:tc>
          <w:tcPr>
            <w:tcW w:w="3676" w:type="dxa"/>
          </w:tcPr>
          <w:p w:rsidR="003D2C99" w:rsidRPr="005027C2" w:rsidRDefault="007467B7" w:rsidP="0074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Случаев несоблюдения запретов, ограничений требований, уст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новленных в целях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ствия коррупции, в том числе мер по предотвращению и (или) урегулированию конфликта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тересов не установлено.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стью государственных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данских служащих Чувашской Республики, осуществляющих надзорные функции  </w:t>
            </w:r>
          </w:p>
        </w:tc>
        <w:tc>
          <w:tcPr>
            <w:tcW w:w="2542" w:type="dxa"/>
          </w:tcPr>
          <w:p w:rsidR="003D2C99" w:rsidRPr="005027C2" w:rsidRDefault="00E66B8E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руководителя </w:t>
            </w:r>
          </w:p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 и принятие мер по их пресечению и профилактики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66B8E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Случаев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 не выявлено.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менением предусмотренных за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конодательством мер юридиче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ответственности в каждом случае несоблюдения запретов, огранич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ний тре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бований, уста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новленных в целях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ствия корруп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ции, в том числе мер по предотвращению и (или)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27B8D">
              <w:rPr>
                <w:rFonts w:ascii="Times New Roman" w:hAnsi="Times New Roman"/>
                <w:sz w:val="24"/>
                <w:szCs w:val="24"/>
              </w:rPr>
              <w:t>лицензирования и пр</w:t>
            </w:r>
            <w:r w:rsidR="00327B8D">
              <w:rPr>
                <w:rFonts w:ascii="Times New Roman" w:hAnsi="Times New Roman"/>
                <w:sz w:val="24"/>
                <w:szCs w:val="24"/>
              </w:rPr>
              <w:t>а</w:t>
            </w:r>
            <w:r w:rsidR="00327B8D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менением пред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смотренных за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конодательством мер юридиче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 в каждом случае несоблюд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ния запретов, ограничений тре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бований, уста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новленных в целях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ствия корруп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ции, в том числе мер по предотвращ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и (или)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 осущест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лялся.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Организация антикоррупционной пропаганды и просвещения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средствах массовой информации и сети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тернет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92" w:type="dxa"/>
          </w:tcPr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шии ведется постоянно.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Антикоррупционное образование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ственных граж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данских служащих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Проводится ознакомление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дарственных гражданских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жащих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шии с изменениями антикорру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ционного законодательства. Ознакомление проводится на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стоянной основе при внесении изменений в нормативно-правовую базу по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ствию коррупции путем их дов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дения до всех служащих.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Оказание государственной поддержки общественным объединениям, создаваемым в целях противодействия коррупции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Оказание правовой и информационной поддержки дея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тельности общественных объединений, создаваемых в це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лях прот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Заместители руководителя</w:t>
            </w:r>
          </w:p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Общественные объединения,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зданные в целях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ствия коррупции, за оказанием правовой и информационной поддержки не обращались.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 xml:space="preserve">. Обеспечение доступа граждан и организаций к информации о деятельности </w:t>
            </w:r>
            <w:proofErr w:type="spellStart"/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b/>
                <w:sz w:val="24"/>
                <w:szCs w:val="24"/>
              </w:rPr>
              <w:t xml:space="preserve"> Чувашии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rPr>
          <w:trHeight w:val="85"/>
        </w:trPr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Введение в практику отчета руководителя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перед насел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нием о проводимой работе в целом и по предупреждению коррупционных правон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шений через средства массовой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мации и сеть Интер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отче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392" w:type="dxa"/>
          </w:tcPr>
          <w:p w:rsidR="003D2C99" w:rsidRPr="005027C2" w:rsidRDefault="00E66B8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D24A10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A10">
              <w:rPr>
                <w:rFonts w:ascii="Times New Roman" w:hAnsi="Times New Roman"/>
                <w:sz w:val="24"/>
                <w:szCs w:val="24"/>
              </w:rPr>
              <w:t>За 2022 год проведено 103 встр</w:t>
            </w:r>
            <w:r w:rsidRPr="00D24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A10">
              <w:rPr>
                <w:rFonts w:ascii="Times New Roman" w:hAnsi="Times New Roman"/>
                <w:sz w:val="24"/>
                <w:szCs w:val="24"/>
              </w:rPr>
              <w:t>чи с населением</w:t>
            </w:r>
            <w:r w:rsidR="00E66B8E" w:rsidRPr="00D24A10">
              <w:rPr>
                <w:rFonts w:ascii="Times New Roman" w:hAnsi="Times New Roman"/>
                <w:sz w:val="24"/>
                <w:szCs w:val="24"/>
              </w:rPr>
              <w:t>, на которых в том числе давались разъяснения ответственности за преступления коррупционной направленности.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соблюдения правил приема граждан, в том числе выездных приемов, руководителем и заместителями руковод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в рамках прове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дения единых информационных дней.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ходе ЕИД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Руководитель – главный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дарственный жилищный инспе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тор Чувашской Республики участвует в проведении Единых информационных дней в соо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ветствии с утвержденным граф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работы «горячих линий» на сайте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спекции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Чувашии в сети Интернет, «телефонов доверия» для обр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 граждан о злоупотреблениях дол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ностных лиц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Чувашии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5027C2" w:rsidP="0050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5027C2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размещена информация о работе «горячей линии» и «телефонов доверия» для обращения граждан о зл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употреблениях должностных лиц; осуществляется ведение баннера «Противодействие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рупции».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мации сведений о фактах привлечения к ответственности должностных лиц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за правонарушения, связанные с использованием своего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жебного положения.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появления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3392" w:type="dxa"/>
          </w:tcPr>
          <w:p w:rsidR="003D2C99" w:rsidRPr="005027C2" w:rsidRDefault="005027C2" w:rsidP="0050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5027C2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Сведений  о фактах привлечения к ответственности должностных лиц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за правонарушения, связанные с использованием своего служе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ного положения в 2022 году не выявлено.</w:t>
            </w:r>
          </w:p>
        </w:tc>
      </w:tr>
      <w:tr w:rsidR="003D2C99" w:rsidRPr="00356515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вашии по предоставлению государственных услуг гражда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нам и орг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низациям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5027C2" w:rsidRPr="005027C2" w:rsidRDefault="005027C2" w:rsidP="0050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356515" w:rsidRDefault="005027C2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шии по предоставлению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дарственных услуг гражданам и организациям ведется постоянно.</w:t>
            </w:r>
          </w:p>
        </w:tc>
      </w:tr>
    </w:tbl>
    <w:p w:rsidR="00CD057C" w:rsidRPr="00356515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643" w:rsidRDefault="001A2643"/>
    <w:sectPr w:rsidR="001A2643" w:rsidSect="00CD0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1B" w:rsidRDefault="0096581B" w:rsidP="00CD057C">
      <w:pPr>
        <w:spacing w:after="0" w:line="240" w:lineRule="auto"/>
      </w:pPr>
      <w:r>
        <w:separator/>
      </w:r>
    </w:p>
  </w:endnote>
  <w:endnote w:type="continuationSeparator" w:id="0">
    <w:p w:rsidR="0096581B" w:rsidRDefault="0096581B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1B" w:rsidRDefault="0096581B" w:rsidP="00CD057C">
      <w:pPr>
        <w:spacing w:after="0" w:line="240" w:lineRule="auto"/>
      </w:pPr>
      <w:r>
        <w:separator/>
      </w:r>
    </w:p>
  </w:footnote>
  <w:footnote w:type="continuationSeparator" w:id="0">
    <w:p w:rsidR="0096581B" w:rsidRDefault="0096581B" w:rsidP="00CD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9B7"/>
    <w:multiLevelType w:val="hybridMultilevel"/>
    <w:tmpl w:val="63F62C04"/>
    <w:lvl w:ilvl="0" w:tplc="0294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F7"/>
    <w:multiLevelType w:val="hybridMultilevel"/>
    <w:tmpl w:val="63F62C04"/>
    <w:lvl w:ilvl="0" w:tplc="0294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111E49"/>
    <w:rsid w:val="001A2643"/>
    <w:rsid w:val="00327B8D"/>
    <w:rsid w:val="00356515"/>
    <w:rsid w:val="003D2C99"/>
    <w:rsid w:val="004F2811"/>
    <w:rsid w:val="004F7344"/>
    <w:rsid w:val="005027C2"/>
    <w:rsid w:val="005612EF"/>
    <w:rsid w:val="005D56E9"/>
    <w:rsid w:val="00640E3F"/>
    <w:rsid w:val="007467B7"/>
    <w:rsid w:val="008047D5"/>
    <w:rsid w:val="008666D3"/>
    <w:rsid w:val="00910058"/>
    <w:rsid w:val="00947BF1"/>
    <w:rsid w:val="0096581B"/>
    <w:rsid w:val="009A17A8"/>
    <w:rsid w:val="009E4081"/>
    <w:rsid w:val="00A00AD5"/>
    <w:rsid w:val="00B633F9"/>
    <w:rsid w:val="00BB26F1"/>
    <w:rsid w:val="00C518EE"/>
    <w:rsid w:val="00CD057C"/>
    <w:rsid w:val="00D24A10"/>
    <w:rsid w:val="00D90FD7"/>
    <w:rsid w:val="00E079AE"/>
    <w:rsid w:val="00E66B8E"/>
    <w:rsid w:val="00EE39FE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07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07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BF6-ACA7-4966-A347-CD1060E9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Зимина Анастасия</cp:lastModifiedBy>
  <cp:revision>2</cp:revision>
  <cp:lastPrinted>2023-01-27T08:34:00Z</cp:lastPrinted>
  <dcterms:created xsi:type="dcterms:W3CDTF">2023-01-27T10:27:00Z</dcterms:created>
  <dcterms:modified xsi:type="dcterms:W3CDTF">2023-01-27T10:27:00Z</dcterms:modified>
</cp:coreProperties>
</file>