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3960"/>
      </w:tblGrid>
      <w:tr w:rsidR="00835B5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B59" w:rsidRDefault="00835B5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9B5B79" w:rsidP="00835B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</w:p>
        </w:tc>
      </w:tr>
      <w:tr w:rsidR="00835B59" w:rsidRPr="001F686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  <w:r w:rsidRPr="001F6867">
              <w:t>ЧĂВАШ РЕСПУБЛИКИН</w:t>
            </w:r>
          </w:p>
          <w:p w:rsidR="00835B59" w:rsidRPr="001F6867" w:rsidRDefault="00835B59" w:rsidP="00835B59">
            <w:pPr>
              <w:jc w:val="center"/>
            </w:pPr>
            <w:r w:rsidRPr="001F6867">
              <w:t>КОМСОМОЛЬСКИ  РАЙОНĔН АДМИНИСТРАЦИЙЕ</w:t>
            </w:r>
          </w:p>
          <w:p w:rsidR="00835B59" w:rsidRPr="001F6867" w:rsidRDefault="00835B59" w:rsidP="00835B59">
            <w:pPr>
              <w:jc w:val="center"/>
            </w:pPr>
          </w:p>
          <w:p w:rsidR="00835B59" w:rsidRPr="001F6867" w:rsidRDefault="00835B59" w:rsidP="00835B59">
            <w:pPr>
              <w:jc w:val="center"/>
            </w:pPr>
            <w:r w:rsidRPr="001F6867">
              <w:t>ЙЫШĂНУ</w:t>
            </w:r>
          </w:p>
          <w:p w:rsidR="00835B59" w:rsidRPr="001F6867" w:rsidRDefault="00643BF7" w:rsidP="00835B59">
            <w:pPr>
              <w:jc w:val="center"/>
            </w:pPr>
            <w:r>
              <w:t>21.</w:t>
            </w:r>
            <w:r w:rsidR="00A44C18">
              <w:t>11</w:t>
            </w:r>
            <w:r w:rsidR="00835B59" w:rsidRPr="001F6867">
              <w:t>.20</w:t>
            </w:r>
            <w:r w:rsidR="00A44C18">
              <w:t>22</w:t>
            </w:r>
            <w:r w:rsidR="00835B59" w:rsidRPr="001F6867">
              <w:t xml:space="preserve"> ç. №</w:t>
            </w:r>
            <w:r w:rsidR="00BA7CB9">
              <w:t xml:space="preserve"> </w:t>
            </w:r>
            <w:r>
              <w:t>662</w:t>
            </w:r>
            <w:bookmarkStart w:id="0" w:name="_GoBack"/>
            <w:bookmarkEnd w:id="0"/>
          </w:p>
          <w:p w:rsidR="00835B59" w:rsidRPr="001F6867" w:rsidRDefault="00835B59" w:rsidP="00835B59">
            <w:pPr>
              <w:jc w:val="center"/>
            </w:pPr>
            <w:proofErr w:type="spellStart"/>
            <w:r w:rsidRPr="001F6867">
              <w:t>Комсомольски</w:t>
            </w:r>
            <w:proofErr w:type="spellEnd"/>
            <w:r w:rsidRPr="001F6867">
              <w:t xml:space="preserve"> </w:t>
            </w:r>
            <w:proofErr w:type="spellStart"/>
            <w:r w:rsidRPr="001F6867">
              <w:t>ялĕ</w:t>
            </w:r>
            <w:proofErr w:type="spellEnd"/>
          </w:p>
          <w:p w:rsidR="00835B59" w:rsidRPr="001F6867" w:rsidRDefault="00835B59" w:rsidP="00835B5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35B59" w:rsidRPr="001F6867" w:rsidRDefault="00835B59" w:rsidP="00835B59">
            <w:pPr>
              <w:jc w:val="center"/>
            </w:pPr>
            <w:r w:rsidRPr="001F6867">
              <w:t xml:space="preserve">АДМИНИСТРАЦИЯ </w:t>
            </w:r>
          </w:p>
          <w:p w:rsidR="00835B59" w:rsidRPr="001F6867" w:rsidRDefault="00835B59" w:rsidP="00835B59">
            <w:pPr>
              <w:pStyle w:val="a3"/>
              <w:ind w:firstLine="0"/>
              <w:rPr>
                <w:sz w:val="24"/>
              </w:rPr>
            </w:pPr>
            <w:r w:rsidRPr="001F6867">
              <w:rPr>
                <w:sz w:val="24"/>
              </w:rPr>
              <w:t>КОМСОМОЛЬСКОГО РАЙОНА</w:t>
            </w:r>
          </w:p>
          <w:p w:rsidR="00835B59" w:rsidRPr="001F6867" w:rsidRDefault="00835B59" w:rsidP="00835B59">
            <w:pPr>
              <w:pStyle w:val="a3"/>
              <w:rPr>
                <w:sz w:val="24"/>
              </w:rPr>
            </w:pPr>
            <w:r w:rsidRPr="001F6867">
              <w:rPr>
                <w:sz w:val="24"/>
              </w:rPr>
              <w:t>ЧУВАШСКОЙ РЕСПУБЛИКИ</w:t>
            </w:r>
          </w:p>
          <w:p w:rsidR="00835B59" w:rsidRPr="001F6867" w:rsidRDefault="00835B59" w:rsidP="00835B59">
            <w:pPr>
              <w:pStyle w:val="a3"/>
              <w:rPr>
                <w:sz w:val="24"/>
              </w:rPr>
            </w:pPr>
          </w:p>
          <w:p w:rsidR="00835B59" w:rsidRPr="001F6867" w:rsidRDefault="00835B59" w:rsidP="00835B59">
            <w:pPr>
              <w:jc w:val="center"/>
            </w:pPr>
            <w:r w:rsidRPr="001F6867">
              <w:t>ПОСТАНОВЛЕНИЕ</w:t>
            </w:r>
          </w:p>
          <w:p w:rsidR="0025239D" w:rsidRPr="001F6867" w:rsidRDefault="003A1082" w:rsidP="0025239D">
            <w:pPr>
              <w:jc w:val="center"/>
            </w:pPr>
            <w:r w:rsidRPr="001F6867">
              <w:t xml:space="preserve"> </w:t>
            </w:r>
            <w:r w:rsidR="003964A5" w:rsidRPr="001F6867">
              <w:t xml:space="preserve"> </w:t>
            </w:r>
            <w:r w:rsidR="002C79E4">
              <w:t xml:space="preserve"> </w:t>
            </w:r>
            <w:r w:rsidR="006D4FE0">
              <w:t>21</w:t>
            </w:r>
            <w:r w:rsidR="009E6771">
              <w:t>.</w:t>
            </w:r>
            <w:r w:rsidR="00A44C18">
              <w:t>11</w:t>
            </w:r>
            <w:r w:rsidR="00835B59" w:rsidRPr="001F6867">
              <w:t>.20</w:t>
            </w:r>
            <w:r w:rsidR="002110DD">
              <w:t>22</w:t>
            </w:r>
            <w:r w:rsidR="00C24F0F">
              <w:t xml:space="preserve"> </w:t>
            </w:r>
            <w:r w:rsidR="00835B59" w:rsidRPr="001F6867">
              <w:t>г. №</w:t>
            </w:r>
            <w:r w:rsidR="00691A63" w:rsidRPr="001F6867">
              <w:t xml:space="preserve"> </w:t>
            </w:r>
            <w:r w:rsidR="006D4FE0">
              <w:t>662</w:t>
            </w:r>
          </w:p>
          <w:p w:rsidR="00835B59" w:rsidRPr="001F6867" w:rsidRDefault="00835B59" w:rsidP="0025239D">
            <w:pPr>
              <w:jc w:val="center"/>
            </w:pPr>
            <w:r w:rsidRPr="001F6867">
              <w:t>с.</w:t>
            </w:r>
            <w:r w:rsidR="0031098B">
              <w:t xml:space="preserve"> </w:t>
            </w:r>
            <w:r w:rsidRPr="001F6867">
              <w:t>Комсомольское</w:t>
            </w:r>
          </w:p>
        </w:tc>
      </w:tr>
    </w:tbl>
    <w:p w:rsidR="003964A5" w:rsidRPr="001F6867" w:rsidRDefault="003964A5" w:rsidP="00E762F3">
      <w:pPr>
        <w:jc w:val="both"/>
        <w:rPr>
          <w:sz w:val="28"/>
          <w:szCs w:val="28"/>
        </w:rPr>
      </w:pPr>
      <w:r w:rsidRPr="001F6867">
        <w:rPr>
          <w:sz w:val="28"/>
          <w:szCs w:val="28"/>
        </w:rPr>
        <w:t xml:space="preserve"> </w:t>
      </w:r>
    </w:p>
    <w:p w:rsidR="00EA1797" w:rsidRPr="00016985" w:rsidRDefault="00F830FF" w:rsidP="00F830FF">
      <w:pPr>
        <w:ind w:right="3594"/>
        <w:jc w:val="both"/>
        <w:rPr>
          <w:b/>
          <w:sz w:val="26"/>
          <w:szCs w:val="26"/>
        </w:rPr>
      </w:pPr>
      <w:r w:rsidRPr="00016985">
        <w:rPr>
          <w:b/>
          <w:sz w:val="26"/>
          <w:szCs w:val="26"/>
        </w:rPr>
        <w:t xml:space="preserve">О внесении изменений в постановление администрации Комсомольского района от </w:t>
      </w:r>
      <w:r w:rsidR="00D96DB4">
        <w:rPr>
          <w:b/>
          <w:sz w:val="26"/>
          <w:szCs w:val="26"/>
        </w:rPr>
        <w:t>14</w:t>
      </w:r>
      <w:r w:rsidR="00613CB0" w:rsidRPr="00016985">
        <w:rPr>
          <w:b/>
          <w:sz w:val="26"/>
          <w:szCs w:val="26"/>
        </w:rPr>
        <w:t xml:space="preserve"> </w:t>
      </w:r>
      <w:r w:rsidR="00D96DB4">
        <w:rPr>
          <w:b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="00D96DB4">
          <w:rPr>
            <w:b/>
            <w:sz w:val="26"/>
            <w:szCs w:val="26"/>
          </w:rPr>
          <w:t>2017</w:t>
        </w:r>
        <w:r w:rsidR="00613CB0" w:rsidRPr="00016985">
          <w:rPr>
            <w:b/>
            <w:sz w:val="26"/>
            <w:szCs w:val="26"/>
          </w:rPr>
          <w:t xml:space="preserve"> </w:t>
        </w:r>
        <w:r w:rsidRPr="00016985">
          <w:rPr>
            <w:b/>
            <w:sz w:val="26"/>
            <w:szCs w:val="26"/>
          </w:rPr>
          <w:t>г</w:t>
        </w:r>
      </w:smartTag>
      <w:r w:rsidRPr="00016985">
        <w:rPr>
          <w:b/>
          <w:sz w:val="26"/>
          <w:szCs w:val="26"/>
        </w:rPr>
        <w:t>. №</w:t>
      </w:r>
      <w:r w:rsidR="00D96DB4">
        <w:rPr>
          <w:b/>
          <w:sz w:val="26"/>
          <w:szCs w:val="26"/>
        </w:rPr>
        <w:t xml:space="preserve"> 411</w:t>
      </w:r>
      <w:r w:rsidRPr="00016985">
        <w:rPr>
          <w:b/>
          <w:sz w:val="26"/>
          <w:szCs w:val="26"/>
        </w:rPr>
        <w:t xml:space="preserve"> «</w:t>
      </w:r>
      <w:r w:rsidR="00EA1797" w:rsidRPr="00016985">
        <w:rPr>
          <w:b/>
          <w:sz w:val="26"/>
          <w:szCs w:val="26"/>
        </w:rPr>
        <w:t>Об утверждении</w:t>
      </w:r>
      <w:r w:rsidR="00734FBE" w:rsidRPr="00016985">
        <w:rPr>
          <w:b/>
          <w:sz w:val="26"/>
          <w:szCs w:val="26"/>
        </w:rPr>
        <w:t xml:space="preserve"> </w:t>
      </w:r>
      <w:r w:rsidR="00EA1797" w:rsidRPr="00016985">
        <w:rPr>
          <w:b/>
          <w:sz w:val="26"/>
          <w:szCs w:val="26"/>
        </w:rPr>
        <w:t>П</w:t>
      </w:r>
      <w:r w:rsidR="003964A5" w:rsidRPr="00016985">
        <w:rPr>
          <w:b/>
          <w:sz w:val="26"/>
          <w:szCs w:val="26"/>
        </w:rPr>
        <w:t>римерного п</w:t>
      </w:r>
      <w:r w:rsidR="00EA1797" w:rsidRPr="00016985">
        <w:rPr>
          <w:b/>
          <w:sz w:val="26"/>
          <w:szCs w:val="26"/>
        </w:rPr>
        <w:t xml:space="preserve">оложения об оплате труда работников </w:t>
      </w:r>
      <w:r w:rsidR="00ED6A3D" w:rsidRPr="00016985">
        <w:rPr>
          <w:b/>
          <w:sz w:val="26"/>
          <w:szCs w:val="26"/>
        </w:rPr>
        <w:t>муниц</w:t>
      </w:r>
      <w:r w:rsidR="000B2FBF" w:rsidRPr="00016985">
        <w:rPr>
          <w:b/>
          <w:sz w:val="26"/>
          <w:szCs w:val="26"/>
        </w:rPr>
        <w:t>и</w:t>
      </w:r>
      <w:r w:rsidR="00ED6A3D" w:rsidRPr="00016985">
        <w:rPr>
          <w:b/>
          <w:sz w:val="26"/>
          <w:szCs w:val="26"/>
        </w:rPr>
        <w:t>пальных</w:t>
      </w:r>
      <w:r w:rsidRPr="00016985">
        <w:rPr>
          <w:b/>
          <w:sz w:val="26"/>
          <w:szCs w:val="26"/>
        </w:rPr>
        <w:t xml:space="preserve"> учреждений </w:t>
      </w:r>
      <w:r w:rsidR="00EA1797" w:rsidRPr="00016985">
        <w:rPr>
          <w:b/>
          <w:sz w:val="26"/>
          <w:szCs w:val="26"/>
        </w:rPr>
        <w:t>Комсомольского района Ч</w:t>
      </w:r>
      <w:r w:rsidR="00E762F3" w:rsidRPr="00016985">
        <w:rPr>
          <w:b/>
          <w:sz w:val="26"/>
          <w:szCs w:val="26"/>
        </w:rPr>
        <w:t xml:space="preserve">увашской </w:t>
      </w:r>
      <w:r w:rsidR="00EA1797" w:rsidRPr="00016985">
        <w:rPr>
          <w:b/>
          <w:sz w:val="26"/>
          <w:szCs w:val="26"/>
        </w:rPr>
        <w:t>Р</w:t>
      </w:r>
      <w:r w:rsidR="00E762F3" w:rsidRPr="00016985">
        <w:rPr>
          <w:b/>
          <w:sz w:val="26"/>
          <w:szCs w:val="26"/>
        </w:rPr>
        <w:t>еспублики</w:t>
      </w:r>
      <w:r w:rsidR="00EA1797" w:rsidRPr="00016985">
        <w:rPr>
          <w:b/>
          <w:sz w:val="26"/>
          <w:szCs w:val="26"/>
        </w:rPr>
        <w:t>, занятых в сфере образования</w:t>
      </w:r>
      <w:r w:rsidRPr="00016985">
        <w:rPr>
          <w:b/>
          <w:sz w:val="26"/>
          <w:szCs w:val="26"/>
        </w:rPr>
        <w:t>»</w:t>
      </w:r>
    </w:p>
    <w:p w:rsidR="00EF3FFA" w:rsidRPr="00016985" w:rsidRDefault="00EA1797" w:rsidP="00F830FF">
      <w:pPr>
        <w:ind w:right="3594"/>
        <w:jc w:val="both"/>
        <w:rPr>
          <w:b/>
          <w:sz w:val="26"/>
          <w:szCs w:val="26"/>
        </w:rPr>
      </w:pPr>
      <w:r w:rsidRPr="00016985">
        <w:rPr>
          <w:b/>
          <w:sz w:val="26"/>
          <w:szCs w:val="26"/>
        </w:rPr>
        <w:t xml:space="preserve"> </w:t>
      </w:r>
    </w:p>
    <w:p w:rsidR="00EF3FFA" w:rsidRPr="0010479D" w:rsidRDefault="00F830FF" w:rsidP="0010479D">
      <w:pPr>
        <w:ind w:firstLine="1080"/>
        <w:jc w:val="both"/>
        <w:rPr>
          <w:sz w:val="26"/>
          <w:szCs w:val="26"/>
        </w:rPr>
      </w:pPr>
      <w:r w:rsidRPr="00016985">
        <w:rPr>
          <w:sz w:val="26"/>
          <w:szCs w:val="26"/>
        </w:rPr>
        <w:t xml:space="preserve">Руководствуясь </w:t>
      </w:r>
      <w:r w:rsidR="00613CB0" w:rsidRPr="00016985">
        <w:rPr>
          <w:sz w:val="26"/>
          <w:szCs w:val="26"/>
        </w:rPr>
        <w:t xml:space="preserve">постановлением Кабинета Министров Чувашской Республики от </w:t>
      </w:r>
      <w:r w:rsidR="002110DD">
        <w:rPr>
          <w:sz w:val="26"/>
          <w:szCs w:val="26"/>
        </w:rPr>
        <w:t>14</w:t>
      </w:r>
      <w:r w:rsidR="008B302B">
        <w:rPr>
          <w:sz w:val="26"/>
          <w:szCs w:val="26"/>
        </w:rPr>
        <w:t xml:space="preserve"> </w:t>
      </w:r>
      <w:r w:rsidR="002110DD">
        <w:rPr>
          <w:sz w:val="26"/>
          <w:szCs w:val="26"/>
        </w:rPr>
        <w:t>ноября</w:t>
      </w:r>
      <w:r w:rsidR="00C24F0F" w:rsidRPr="0010479D">
        <w:rPr>
          <w:sz w:val="26"/>
          <w:szCs w:val="26"/>
        </w:rPr>
        <w:t xml:space="preserve"> 20</w:t>
      </w:r>
      <w:r w:rsidR="002110DD">
        <w:rPr>
          <w:sz w:val="26"/>
          <w:szCs w:val="26"/>
        </w:rPr>
        <w:t>22</w:t>
      </w:r>
      <w:r w:rsidR="00613CB0" w:rsidRPr="0010479D">
        <w:rPr>
          <w:sz w:val="26"/>
          <w:szCs w:val="26"/>
        </w:rPr>
        <w:t xml:space="preserve"> г</w:t>
      </w:r>
      <w:r w:rsidR="00C24F0F" w:rsidRPr="0010479D">
        <w:rPr>
          <w:sz w:val="26"/>
          <w:szCs w:val="26"/>
        </w:rPr>
        <w:t xml:space="preserve">. № </w:t>
      </w:r>
      <w:r w:rsidR="00D872DE">
        <w:rPr>
          <w:sz w:val="26"/>
          <w:szCs w:val="26"/>
        </w:rPr>
        <w:t>5</w:t>
      </w:r>
      <w:r w:rsidR="002110DD">
        <w:rPr>
          <w:sz w:val="26"/>
          <w:szCs w:val="26"/>
        </w:rPr>
        <w:t>86</w:t>
      </w:r>
      <w:r w:rsidR="00613CB0" w:rsidRPr="0010479D">
        <w:rPr>
          <w:sz w:val="26"/>
          <w:szCs w:val="26"/>
        </w:rPr>
        <w:t xml:space="preserve"> «О внесении изменений в постановление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="00613CB0" w:rsidRPr="0010479D">
          <w:rPr>
            <w:sz w:val="26"/>
            <w:szCs w:val="26"/>
          </w:rPr>
          <w:t>2013 г</w:t>
        </w:r>
      </w:smartTag>
      <w:r w:rsidR="00613CB0" w:rsidRPr="0010479D">
        <w:rPr>
          <w:sz w:val="26"/>
          <w:szCs w:val="26"/>
        </w:rPr>
        <w:t>. №</w:t>
      </w:r>
      <w:r w:rsidR="00D96DB4">
        <w:rPr>
          <w:sz w:val="26"/>
          <w:szCs w:val="26"/>
        </w:rPr>
        <w:t xml:space="preserve"> </w:t>
      </w:r>
      <w:r w:rsidR="00613CB0" w:rsidRPr="0010479D">
        <w:rPr>
          <w:sz w:val="26"/>
          <w:szCs w:val="26"/>
        </w:rPr>
        <w:t>377»</w:t>
      </w:r>
      <w:r w:rsidR="00C24F0F" w:rsidRPr="0010479D">
        <w:rPr>
          <w:sz w:val="26"/>
          <w:szCs w:val="26"/>
        </w:rPr>
        <w:t>,</w:t>
      </w:r>
      <w:r w:rsidR="00613CB0" w:rsidRPr="0010479D">
        <w:rPr>
          <w:sz w:val="26"/>
          <w:szCs w:val="26"/>
        </w:rPr>
        <w:t xml:space="preserve"> а</w:t>
      </w:r>
      <w:r w:rsidR="00CC16C7" w:rsidRPr="0010479D">
        <w:rPr>
          <w:sz w:val="26"/>
          <w:szCs w:val="26"/>
        </w:rPr>
        <w:t xml:space="preserve">дминистрация Комсомольского района </w:t>
      </w:r>
      <w:r w:rsidR="00613CB0" w:rsidRPr="0010479D">
        <w:rPr>
          <w:sz w:val="26"/>
          <w:szCs w:val="26"/>
        </w:rPr>
        <w:t>Чувашской Республики</w:t>
      </w:r>
      <w:r w:rsidR="0075313E" w:rsidRPr="0010479D">
        <w:rPr>
          <w:sz w:val="26"/>
          <w:szCs w:val="26"/>
        </w:rPr>
        <w:t xml:space="preserve"> </w:t>
      </w:r>
      <w:r w:rsidR="00EA1797" w:rsidRPr="0010479D">
        <w:rPr>
          <w:sz w:val="26"/>
          <w:szCs w:val="26"/>
        </w:rPr>
        <w:t xml:space="preserve">п о с </w:t>
      </w:r>
      <w:proofErr w:type="gramStart"/>
      <w:r w:rsidR="00EA1797" w:rsidRPr="0010479D">
        <w:rPr>
          <w:sz w:val="26"/>
          <w:szCs w:val="26"/>
        </w:rPr>
        <w:t>т</w:t>
      </w:r>
      <w:proofErr w:type="gramEnd"/>
      <w:r w:rsidR="00EA1797" w:rsidRPr="0010479D">
        <w:rPr>
          <w:sz w:val="26"/>
          <w:szCs w:val="26"/>
        </w:rPr>
        <w:t xml:space="preserve"> а н о в л я </w:t>
      </w:r>
      <w:r w:rsidR="00CC16C7" w:rsidRPr="0010479D">
        <w:rPr>
          <w:sz w:val="26"/>
          <w:szCs w:val="26"/>
        </w:rPr>
        <w:t>е т</w:t>
      </w:r>
      <w:r w:rsidR="00EA1797" w:rsidRPr="0010479D">
        <w:rPr>
          <w:sz w:val="26"/>
          <w:szCs w:val="26"/>
        </w:rPr>
        <w:t>:</w:t>
      </w:r>
    </w:p>
    <w:p w:rsidR="00DB2A15" w:rsidRDefault="00DB2A15" w:rsidP="0010479D">
      <w:pPr>
        <w:ind w:firstLine="1080"/>
        <w:jc w:val="both"/>
        <w:rPr>
          <w:sz w:val="26"/>
          <w:szCs w:val="26"/>
        </w:rPr>
      </w:pPr>
      <w:r w:rsidRPr="0010479D">
        <w:rPr>
          <w:bCs/>
          <w:sz w:val="26"/>
          <w:szCs w:val="26"/>
        </w:rPr>
        <w:t>1.</w:t>
      </w:r>
      <w:r w:rsidRPr="0010479D">
        <w:rPr>
          <w:b/>
          <w:bCs/>
          <w:sz w:val="26"/>
          <w:szCs w:val="26"/>
        </w:rPr>
        <w:t> </w:t>
      </w:r>
      <w:r w:rsidRPr="0010479D">
        <w:rPr>
          <w:sz w:val="26"/>
          <w:szCs w:val="26"/>
        </w:rPr>
        <w:t xml:space="preserve">Внести в Примерное положение об оплате труда работников муниципальных учреждений Комсомольского района Чувашской Республики, занятых в сфере образования, утвержденное постановлением администрации Комсомольского района Чувашской Республики от </w:t>
      </w:r>
      <w:r w:rsidR="00D96DB4">
        <w:rPr>
          <w:sz w:val="26"/>
          <w:szCs w:val="26"/>
        </w:rPr>
        <w:t>14</w:t>
      </w:r>
      <w:r w:rsidRPr="0010479D">
        <w:rPr>
          <w:sz w:val="26"/>
          <w:szCs w:val="26"/>
        </w:rPr>
        <w:t xml:space="preserve"> </w:t>
      </w:r>
      <w:r w:rsidR="00D96DB4">
        <w:rPr>
          <w:sz w:val="26"/>
          <w:szCs w:val="26"/>
        </w:rPr>
        <w:t>августа</w:t>
      </w:r>
      <w:r w:rsidRPr="0010479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0479D">
          <w:rPr>
            <w:sz w:val="26"/>
            <w:szCs w:val="26"/>
          </w:rPr>
          <w:t>201</w:t>
        </w:r>
        <w:r w:rsidR="00D96DB4">
          <w:rPr>
            <w:sz w:val="26"/>
            <w:szCs w:val="26"/>
          </w:rPr>
          <w:t>7</w:t>
        </w:r>
        <w:r w:rsidRPr="0010479D">
          <w:rPr>
            <w:sz w:val="26"/>
            <w:szCs w:val="26"/>
          </w:rPr>
          <w:t xml:space="preserve"> г</w:t>
        </w:r>
      </w:smartTag>
      <w:r w:rsidRPr="0010479D">
        <w:rPr>
          <w:sz w:val="26"/>
          <w:szCs w:val="26"/>
        </w:rPr>
        <w:t>. №</w:t>
      </w:r>
      <w:r w:rsidR="00D96DB4">
        <w:rPr>
          <w:sz w:val="26"/>
          <w:szCs w:val="26"/>
        </w:rPr>
        <w:t xml:space="preserve"> 411</w:t>
      </w:r>
      <w:r w:rsidR="00A04260">
        <w:rPr>
          <w:sz w:val="26"/>
          <w:szCs w:val="26"/>
        </w:rPr>
        <w:t xml:space="preserve"> </w:t>
      </w:r>
      <w:r w:rsidR="008B302B">
        <w:rPr>
          <w:sz w:val="26"/>
          <w:szCs w:val="26"/>
        </w:rPr>
        <w:t>(с изменениями</w:t>
      </w:r>
      <w:r w:rsidR="00A04260">
        <w:rPr>
          <w:sz w:val="26"/>
          <w:szCs w:val="26"/>
        </w:rPr>
        <w:t>, внесенными постановлениями администрации Комсомольского района</w:t>
      </w:r>
      <w:r w:rsidR="008B302B">
        <w:rPr>
          <w:sz w:val="26"/>
          <w:szCs w:val="26"/>
        </w:rPr>
        <w:t xml:space="preserve"> от 22 февраля 2018 г. №</w:t>
      </w:r>
      <w:r w:rsidR="00A04260">
        <w:rPr>
          <w:sz w:val="26"/>
          <w:szCs w:val="26"/>
        </w:rPr>
        <w:t xml:space="preserve"> </w:t>
      </w:r>
      <w:r w:rsidR="008B302B">
        <w:rPr>
          <w:sz w:val="26"/>
          <w:szCs w:val="26"/>
        </w:rPr>
        <w:t>79, от 04 июля 2018 г. № 335, от 14 ноября 2018 г. № 682</w:t>
      </w:r>
      <w:r w:rsidR="00D872DE">
        <w:rPr>
          <w:sz w:val="26"/>
          <w:szCs w:val="26"/>
        </w:rPr>
        <w:t>, от 02 декабря 2019 г. № 1743</w:t>
      </w:r>
      <w:r w:rsidR="002110DD">
        <w:rPr>
          <w:sz w:val="26"/>
          <w:szCs w:val="26"/>
        </w:rPr>
        <w:t>, от 02 ноября 2020 г.  № 785</w:t>
      </w:r>
      <w:r w:rsidR="008B302B">
        <w:rPr>
          <w:sz w:val="26"/>
          <w:szCs w:val="26"/>
        </w:rPr>
        <w:t>)</w:t>
      </w:r>
      <w:r w:rsidR="00A44C18">
        <w:rPr>
          <w:sz w:val="26"/>
          <w:szCs w:val="26"/>
        </w:rPr>
        <w:t>,</w:t>
      </w:r>
      <w:r w:rsidRPr="0010479D">
        <w:rPr>
          <w:sz w:val="26"/>
          <w:szCs w:val="26"/>
        </w:rPr>
        <w:t xml:space="preserve"> следующие изменения:</w:t>
      </w:r>
    </w:p>
    <w:p w:rsidR="002110DD" w:rsidRDefault="00C637ED" w:rsidP="0010479D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110DD">
        <w:rPr>
          <w:sz w:val="26"/>
          <w:szCs w:val="26"/>
        </w:rPr>
        <w:t>в разделе I:</w:t>
      </w:r>
    </w:p>
    <w:p w:rsidR="003A4770" w:rsidRPr="002A5CFB" w:rsidRDefault="003A4770" w:rsidP="003A4770">
      <w:pPr>
        <w:ind w:firstLine="709"/>
        <w:jc w:val="both"/>
        <w:rPr>
          <w:sz w:val="26"/>
        </w:rPr>
      </w:pPr>
      <w:r>
        <w:rPr>
          <w:sz w:val="26"/>
        </w:rPr>
        <w:t xml:space="preserve">      </w:t>
      </w:r>
      <w:r w:rsidRPr="002A5CFB">
        <w:rPr>
          <w:sz w:val="26"/>
        </w:rPr>
        <w:t>подпункт «а» пункта 1.6 изложить в следующей редакции:</w:t>
      </w:r>
    </w:p>
    <w:p w:rsidR="003A4770" w:rsidRPr="002A5CFB" w:rsidRDefault="003A4770" w:rsidP="003A4770">
      <w:pPr>
        <w:ind w:firstLine="709"/>
        <w:jc w:val="both"/>
        <w:rPr>
          <w:sz w:val="26"/>
        </w:rPr>
      </w:pPr>
      <w:r>
        <w:rPr>
          <w:sz w:val="26"/>
        </w:rPr>
        <w:t xml:space="preserve">      </w:t>
      </w:r>
      <w:r w:rsidRPr="002A5CFB">
        <w:rPr>
          <w:sz w:val="26"/>
        </w:rPr>
        <w:t>«а)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профессиональных стандартов и иных нормативных правовых актов Правительства Российской Федерации;»;</w:t>
      </w:r>
    </w:p>
    <w:p w:rsidR="003A4770" w:rsidRPr="002A5CFB" w:rsidRDefault="003A4770" w:rsidP="003A4770">
      <w:pPr>
        <w:ind w:firstLine="709"/>
        <w:jc w:val="both"/>
        <w:rPr>
          <w:sz w:val="26"/>
        </w:rPr>
      </w:pPr>
      <w:r>
        <w:rPr>
          <w:sz w:val="26"/>
        </w:rPr>
        <w:t xml:space="preserve">     </w:t>
      </w:r>
      <w:r w:rsidRPr="002A5CFB">
        <w:rPr>
          <w:sz w:val="26"/>
        </w:rPr>
        <w:t>пункт 1.10 изложить в следующей редакции:</w:t>
      </w:r>
    </w:p>
    <w:p w:rsidR="003A4770" w:rsidRPr="002A5CFB" w:rsidRDefault="003A4770" w:rsidP="003A4770">
      <w:pPr>
        <w:ind w:firstLine="709"/>
        <w:jc w:val="both"/>
        <w:rPr>
          <w:sz w:val="26"/>
        </w:rPr>
      </w:pPr>
      <w:r>
        <w:rPr>
          <w:sz w:val="26"/>
        </w:rPr>
        <w:t xml:space="preserve">    </w:t>
      </w:r>
      <w:r w:rsidRPr="002A5CFB">
        <w:rPr>
          <w:sz w:val="26"/>
        </w:rPr>
        <w:t>«1.10. Размеры окладов (ставок) устанавливаются в соответствии с абзацем седьмым пункта 1.1</w:t>
      </w:r>
      <w:r w:rsidR="00E26E3A">
        <w:rPr>
          <w:sz w:val="26"/>
        </w:rPr>
        <w:t xml:space="preserve"> </w:t>
      </w:r>
      <w:r w:rsidRPr="002A5CFB">
        <w:rPr>
          <w:sz w:val="26"/>
        </w:rPr>
        <w:t>настоящего Положения руководителем учреждения по квалификационным уровням ПКГ. Размеры выплат по коэффициентам определяются путем умножения размера оклада (ставки) по соответствующей ПКГ на величину коэффициента по соответствующему уровню ПКГ.»;</w:t>
      </w:r>
    </w:p>
    <w:p w:rsidR="003A4770" w:rsidRPr="002A5CFB" w:rsidRDefault="003A4770" w:rsidP="003A4770">
      <w:pPr>
        <w:ind w:firstLine="993"/>
        <w:jc w:val="both"/>
        <w:rPr>
          <w:sz w:val="26"/>
        </w:rPr>
      </w:pPr>
      <w:r w:rsidRPr="002A5CFB">
        <w:rPr>
          <w:sz w:val="26"/>
        </w:rPr>
        <w:t>абзац второй пункта 1.11 дополнить словами «, а также иных нормативных правовых актов Правительства Российской Федерации, утверждающих номенклатуру должностей работников»;</w:t>
      </w:r>
    </w:p>
    <w:p w:rsidR="003A4770" w:rsidRDefault="00417823" w:rsidP="003A4770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637ED">
        <w:rPr>
          <w:sz w:val="26"/>
          <w:szCs w:val="26"/>
        </w:rPr>
        <w:t xml:space="preserve">в разделе </w:t>
      </w:r>
      <w:r w:rsidR="00C637ED" w:rsidRPr="0010479D">
        <w:rPr>
          <w:sz w:val="26"/>
          <w:szCs w:val="26"/>
        </w:rPr>
        <w:t>II</w:t>
      </w:r>
      <w:r w:rsidR="00C637ED">
        <w:rPr>
          <w:sz w:val="26"/>
          <w:szCs w:val="26"/>
        </w:rPr>
        <w:t>:</w:t>
      </w:r>
    </w:p>
    <w:p w:rsidR="003A4770" w:rsidRDefault="003A4770" w:rsidP="003A4770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пункт 2.2 признать утратившим силу;</w:t>
      </w:r>
    </w:p>
    <w:p w:rsidR="00D96DB4" w:rsidRDefault="003A4770" w:rsidP="003A477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D96DB4">
        <w:rPr>
          <w:sz w:val="26"/>
          <w:szCs w:val="26"/>
        </w:rPr>
        <w:t>в пункте 2.3.:</w:t>
      </w:r>
    </w:p>
    <w:p w:rsidR="0010479D" w:rsidRDefault="003A4770" w:rsidP="003A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D96DB4">
        <w:rPr>
          <w:sz w:val="26"/>
          <w:szCs w:val="26"/>
        </w:rPr>
        <w:t xml:space="preserve">таблицу </w:t>
      </w:r>
      <w:r w:rsidR="0010479D" w:rsidRPr="0010479D">
        <w:rPr>
          <w:sz w:val="26"/>
          <w:szCs w:val="26"/>
        </w:rPr>
        <w:t>изложить в следующей редакции:</w:t>
      </w:r>
    </w:p>
    <w:p w:rsidR="00693245" w:rsidRDefault="00693245" w:rsidP="0010479D">
      <w:pPr>
        <w:ind w:firstLine="1080"/>
        <w:jc w:val="both"/>
        <w:rPr>
          <w:sz w:val="26"/>
          <w:szCs w:val="26"/>
        </w:rPr>
      </w:pPr>
    </w:p>
    <w:tbl>
      <w:tblPr>
        <w:tblW w:w="922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78"/>
        <w:gridCol w:w="4398"/>
        <w:gridCol w:w="1752"/>
      </w:tblGrid>
      <w:tr w:rsidR="00693245" w:rsidRPr="001817C5" w:rsidTr="00693245">
        <w:trPr>
          <w:trHeight w:val="132"/>
          <w:tblHeader/>
        </w:trPr>
        <w:tc>
          <w:tcPr>
            <w:tcW w:w="3078" w:type="dxa"/>
            <w:shd w:val="clear" w:color="auto" w:fill="auto"/>
          </w:tcPr>
          <w:p w:rsidR="0069324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«Профессиональные</w:t>
            </w:r>
            <w:r>
              <w:rPr>
                <w:sz w:val="26"/>
                <w:szCs w:val="20"/>
              </w:rPr>
              <w:t xml:space="preserve"> </w:t>
            </w:r>
          </w:p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группы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</w:p>
        </w:tc>
        <w:tc>
          <w:tcPr>
            <w:tcW w:w="4398" w:type="dxa"/>
            <w:shd w:val="clear" w:color="auto" w:fill="auto"/>
          </w:tcPr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уровни</w:t>
            </w:r>
          </w:p>
        </w:tc>
        <w:tc>
          <w:tcPr>
            <w:tcW w:w="1752" w:type="dxa"/>
            <w:shd w:val="clear" w:color="auto" w:fill="auto"/>
          </w:tcPr>
          <w:p w:rsidR="0069324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Рекомендуемый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минимальный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размер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оклада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(ставки),</w:t>
            </w:r>
            <w:r>
              <w:rPr>
                <w:sz w:val="26"/>
                <w:szCs w:val="20"/>
              </w:rPr>
              <w:t xml:space="preserve"> </w:t>
            </w:r>
          </w:p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рублей</w:t>
            </w:r>
          </w:p>
        </w:tc>
      </w:tr>
    </w:tbl>
    <w:p w:rsidR="00693245" w:rsidRPr="001817C5" w:rsidRDefault="00693245" w:rsidP="00693245">
      <w:pPr>
        <w:widowControl w:val="0"/>
        <w:suppressAutoHyphens/>
        <w:spacing w:line="20" w:lineRule="exact"/>
        <w:rPr>
          <w:sz w:val="2"/>
        </w:rPr>
      </w:pPr>
    </w:p>
    <w:tbl>
      <w:tblPr>
        <w:tblW w:w="9228" w:type="dxa"/>
        <w:tblInd w:w="-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78"/>
        <w:gridCol w:w="4398"/>
        <w:gridCol w:w="1752"/>
      </w:tblGrid>
      <w:tr w:rsidR="00693245" w:rsidRPr="001817C5" w:rsidTr="00693245">
        <w:trPr>
          <w:trHeight w:val="132"/>
          <w:tblHeader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245" w:rsidRPr="001817C5" w:rsidRDefault="00693245" w:rsidP="000D034E">
            <w:pPr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</w:p>
        </w:tc>
      </w:tr>
      <w:tr w:rsidR="00693245" w:rsidRPr="001817C5" w:rsidTr="0069324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работников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учебно-вспомогательного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персонала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первого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6383</w:t>
            </w:r>
          </w:p>
        </w:tc>
      </w:tr>
      <w:tr w:rsidR="00693245" w:rsidRPr="001817C5" w:rsidTr="00693245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работников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учебно-вспомогательного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персонала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второго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педагогических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работников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8050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8050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8050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4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3A4770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A477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8834</w:t>
            </w:r>
          </w:p>
        </w:tc>
      </w:tr>
      <w:tr w:rsidR="00693245" w:rsidRPr="001817C5" w:rsidTr="00693245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руководителей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структурных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подразделений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417823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45" w:rsidRPr="001817C5" w:rsidRDefault="00417823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8659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417823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417823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9508</w:t>
            </w:r>
          </w:p>
        </w:tc>
      </w:tr>
      <w:tr w:rsidR="00693245" w:rsidRPr="001817C5" w:rsidTr="00693245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417823">
              <w:rPr>
                <w:sz w:val="26"/>
                <w:szCs w:val="20"/>
              </w:rPr>
              <w:t>уровень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417823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10424</w:t>
            </w:r>
            <w:r w:rsidRPr="001817C5">
              <w:rPr>
                <w:sz w:val="26"/>
                <w:szCs w:val="20"/>
              </w:rPr>
              <w:t>»;</w:t>
            </w:r>
          </w:p>
        </w:tc>
      </w:tr>
    </w:tbl>
    <w:p w:rsidR="00693245" w:rsidRPr="001817C5" w:rsidRDefault="00693245" w:rsidP="00693245">
      <w:pPr>
        <w:jc w:val="both"/>
        <w:rPr>
          <w:sz w:val="26"/>
          <w:szCs w:val="20"/>
        </w:rPr>
      </w:pPr>
    </w:p>
    <w:p w:rsidR="00693245" w:rsidRDefault="00417823" w:rsidP="00417823">
      <w:pPr>
        <w:tabs>
          <w:tab w:val="left" w:pos="0"/>
        </w:tabs>
        <w:ind w:firstLine="1080"/>
        <w:jc w:val="both"/>
        <w:rPr>
          <w:sz w:val="26"/>
        </w:rPr>
      </w:pPr>
      <w:r>
        <w:rPr>
          <w:sz w:val="26"/>
        </w:rPr>
        <w:t>абзац</w:t>
      </w:r>
      <w:r w:rsidR="00693245">
        <w:rPr>
          <w:sz w:val="26"/>
        </w:rPr>
        <w:t xml:space="preserve"> </w:t>
      </w:r>
      <w:r>
        <w:rPr>
          <w:sz w:val="26"/>
        </w:rPr>
        <w:t>второй</w:t>
      </w:r>
      <w:r w:rsidR="00693245">
        <w:rPr>
          <w:sz w:val="26"/>
        </w:rPr>
        <w:t xml:space="preserve"> </w:t>
      </w:r>
      <w:r>
        <w:rPr>
          <w:sz w:val="26"/>
        </w:rPr>
        <w:t>признать утратившим силу</w:t>
      </w:r>
      <w:r w:rsidR="00693245" w:rsidRPr="001817C5">
        <w:rPr>
          <w:sz w:val="26"/>
        </w:rPr>
        <w:t>;</w:t>
      </w:r>
    </w:p>
    <w:p w:rsidR="00417823" w:rsidRPr="002A5CFB" w:rsidRDefault="00417823" w:rsidP="00417823">
      <w:pPr>
        <w:spacing w:line="235" w:lineRule="auto"/>
        <w:ind w:firstLine="709"/>
        <w:jc w:val="both"/>
        <w:rPr>
          <w:sz w:val="26"/>
        </w:rPr>
      </w:pPr>
      <w:r>
        <w:rPr>
          <w:sz w:val="26"/>
        </w:rPr>
        <w:t xml:space="preserve">      </w:t>
      </w:r>
      <w:r w:rsidRPr="002A5CFB">
        <w:rPr>
          <w:sz w:val="26"/>
        </w:rPr>
        <w:t>дополнить абзацем следующего содержания:</w:t>
      </w:r>
    </w:p>
    <w:p w:rsidR="00417823" w:rsidRDefault="00417823" w:rsidP="00417823">
      <w:pPr>
        <w:spacing w:line="235" w:lineRule="auto"/>
        <w:ind w:firstLine="709"/>
        <w:jc w:val="both"/>
        <w:rPr>
          <w:sz w:val="26"/>
        </w:rPr>
      </w:pPr>
      <w:r>
        <w:rPr>
          <w:sz w:val="26"/>
        </w:rPr>
        <w:t xml:space="preserve">     </w:t>
      </w:r>
      <w:r w:rsidRPr="002A5CFB">
        <w:rPr>
          <w:sz w:val="26"/>
        </w:rPr>
        <w:t>«Минимальные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работников.»;</w:t>
      </w:r>
    </w:p>
    <w:p w:rsidR="00417823" w:rsidRPr="002A5CFB" w:rsidRDefault="00417823" w:rsidP="00417823">
      <w:pPr>
        <w:ind w:firstLine="709"/>
        <w:jc w:val="both"/>
        <w:rPr>
          <w:sz w:val="26"/>
        </w:rPr>
      </w:pPr>
      <w:r>
        <w:rPr>
          <w:sz w:val="26"/>
        </w:rPr>
        <w:t xml:space="preserve">     в пункте 2.4</w:t>
      </w:r>
      <w:r w:rsidRPr="002A5CFB">
        <w:rPr>
          <w:sz w:val="26"/>
        </w:rPr>
        <w:t>:</w:t>
      </w:r>
    </w:p>
    <w:p w:rsidR="00417823" w:rsidRPr="002A5CFB" w:rsidRDefault="00417823" w:rsidP="00417823">
      <w:pPr>
        <w:ind w:firstLine="709"/>
        <w:jc w:val="both"/>
        <w:rPr>
          <w:sz w:val="26"/>
        </w:rPr>
      </w:pPr>
      <w:r>
        <w:rPr>
          <w:sz w:val="26"/>
        </w:rPr>
        <w:t xml:space="preserve">     </w:t>
      </w:r>
      <w:r w:rsidRPr="002A5CFB">
        <w:rPr>
          <w:sz w:val="26"/>
        </w:rPr>
        <w:t>абзац пятый признать утратившим силу;</w:t>
      </w:r>
    </w:p>
    <w:p w:rsidR="00417823" w:rsidRPr="002A5CFB" w:rsidRDefault="00417823" w:rsidP="00417823">
      <w:pPr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     </w:t>
      </w:r>
      <w:r w:rsidRPr="002A5CFB">
        <w:rPr>
          <w:sz w:val="26"/>
        </w:rPr>
        <w:t>в абзаце седьмом</w:t>
      </w:r>
      <w:r>
        <w:rPr>
          <w:sz w:val="26"/>
        </w:rPr>
        <w:t xml:space="preserve"> слова «2.7–</w:t>
      </w:r>
      <w:r w:rsidRPr="002A5CFB">
        <w:rPr>
          <w:sz w:val="26"/>
        </w:rPr>
        <w:t>2.10 настоящего Положения» заменить сло</w:t>
      </w:r>
      <w:r w:rsidR="00275E4F">
        <w:rPr>
          <w:sz w:val="26"/>
        </w:rPr>
        <w:t>вами «2.5</w:t>
      </w:r>
      <w:r>
        <w:rPr>
          <w:sz w:val="26"/>
        </w:rPr>
        <w:t>–</w:t>
      </w:r>
      <w:r w:rsidR="00275E4F">
        <w:rPr>
          <w:sz w:val="26"/>
        </w:rPr>
        <w:t>2.7</w:t>
      </w:r>
      <w:r w:rsidRPr="002A5CFB">
        <w:rPr>
          <w:sz w:val="26"/>
        </w:rPr>
        <w:t xml:space="preserve"> настоящего Положения»;</w:t>
      </w:r>
    </w:p>
    <w:p w:rsidR="00417823" w:rsidRPr="00A44C18" w:rsidRDefault="00275E4F" w:rsidP="00417823">
      <w:pPr>
        <w:pStyle w:val="Textbody"/>
        <w:widowControl/>
        <w:suppressAutoHyphens w:val="0"/>
        <w:spacing w:after="0"/>
        <w:ind w:firstLine="709"/>
        <w:jc w:val="both"/>
        <w:rPr>
          <w:rFonts w:ascii="Times New Roman" w:hAnsi="Times New Roman"/>
          <w:sz w:val="26"/>
        </w:rPr>
      </w:pPr>
      <w:r w:rsidRPr="00A44C18">
        <w:rPr>
          <w:rFonts w:ascii="Times New Roman" w:hAnsi="Times New Roman"/>
          <w:sz w:val="26"/>
        </w:rPr>
        <w:t xml:space="preserve">     пункт 2.7</w:t>
      </w:r>
      <w:r w:rsidR="00417823" w:rsidRPr="00A44C18">
        <w:rPr>
          <w:rFonts w:ascii="Times New Roman" w:hAnsi="Times New Roman"/>
          <w:sz w:val="26"/>
        </w:rPr>
        <w:t xml:space="preserve"> изложить в следующей редакции: </w:t>
      </w:r>
    </w:p>
    <w:p w:rsidR="00417823" w:rsidRPr="00A44C18" w:rsidRDefault="00275E4F" w:rsidP="00417823">
      <w:pPr>
        <w:pStyle w:val="Textbody"/>
        <w:widowControl/>
        <w:suppressAutoHyphens w:val="0"/>
        <w:spacing w:after="0"/>
        <w:ind w:firstLine="709"/>
        <w:jc w:val="both"/>
        <w:rPr>
          <w:rFonts w:ascii="Times New Roman" w:hAnsi="Times New Roman"/>
          <w:sz w:val="26"/>
        </w:rPr>
      </w:pPr>
      <w:r w:rsidRPr="00A44C18">
        <w:rPr>
          <w:rFonts w:ascii="Times New Roman" w:hAnsi="Times New Roman"/>
          <w:sz w:val="26"/>
        </w:rPr>
        <w:t xml:space="preserve">     «2.7</w:t>
      </w:r>
      <w:r w:rsidR="00417823" w:rsidRPr="00A44C18">
        <w:rPr>
          <w:rFonts w:ascii="Times New Roman" w:hAnsi="Times New Roman"/>
          <w:sz w:val="26"/>
        </w:rPr>
        <w:t>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</w:t>
      </w:r>
      <w:r w:rsidR="00417823" w:rsidRPr="00A44C18">
        <w:rPr>
          <w:rFonts w:ascii="Times New Roman" w:hAnsi="Times New Roman"/>
          <w:sz w:val="26"/>
        </w:rPr>
        <w:softHyphen/>
        <w:t xml:space="preserve">ство методическими </w:t>
      </w:r>
      <w:r w:rsidR="00417823" w:rsidRPr="00A44C18">
        <w:rPr>
          <w:rFonts w:ascii="Times New Roman" w:hAnsi="Times New Roman"/>
          <w:sz w:val="26"/>
        </w:rPr>
        <w:lastRenderedPageBreak/>
        <w:t>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417823" w:rsidRPr="00A44C18" w:rsidRDefault="00417823" w:rsidP="00275E4F">
      <w:pPr>
        <w:pStyle w:val="Textbody"/>
        <w:widowControl/>
        <w:suppressAutoHyphens w:val="0"/>
        <w:spacing w:after="0"/>
        <w:ind w:firstLine="993"/>
        <w:jc w:val="both"/>
        <w:rPr>
          <w:rFonts w:ascii="Times New Roman" w:hAnsi="Times New Roman"/>
          <w:sz w:val="26"/>
        </w:rPr>
      </w:pPr>
      <w:r w:rsidRPr="00A44C18">
        <w:rPr>
          <w:rFonts w:ascii="Times New Roman" w:hAnsi="Times New Roman"/>
          <w:sz w:val="26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417823" w:rsidRPr="00A44C18" w:rsidRDefault="00417823" w:rsidP="00275E4F">
      <w:pPr>
        <w:pStyle w:val="Textbody"/>
        <w:widowControl/>
        <w:suppressAutoHyphens w:val="0"/>
        <w:spacing w:after="0"/>
        <w:ind w:firstLine="993"/>
        <w:jc w:val="both"/>
        <w:rPr>
          <w:rFonts w:ascii="Times New Roman" w:hAnsi="Times New Roman"/>
          <w:sz w:val="26"/>
        </w:rPr>
      </w:pPr>
      <w:bookmarkStart w:id="1" w:name="p_220"/>
      <w:bookmarkEnd w:id="1"/>
      <w:r w:rsidRPr="00A44C18">
        <w:rPr>
          <w:rFonts w:ascii="Times New Roman" w:hAnsi="Times New Roman"/>
          <w:sz w:val="26"/>
        </w:rPr>
        <w:t>Рекомендуемые размеры персональных коэффициентов:</w:t>
      </w:r>
    </w:p>
    <w:p w:rsidR="00417823" w:rsidRPr="00A44C18" w:rsidRDefault="00417823" w:rsidP="00417823">
      <w:pPr>
        <w:pStyle w:val="Textbody"/>
        <w:widowControl/>
        <w:suppressAutoHyphens w:val="0"/>
        <w:spacing w:after="0"/>
        <w:ind w:firstLine="709"/>
        <w:jc w:val="both"/>
        <w:rPr>
          <w:rFonts w:ascii="Times New Roman" w:hAnsi="Times New Roman"/>
          <w:sz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2779"/>
        <w:gridCol w:w="2471"/>
      </w:tblGrid>
      <w:tr w:rsidR="00417823" w:rsidRPr="00A44C18" w:rsidTr="00417823">
        <w:tc>
          <w:tcPr>
            <w:tcW w:w="4423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2" w:name="p_15378"/>
            <w:bookmarkEnd w:id="2"/>
            <w:r w:rsidRPr="00A44C18">
              <w:rPr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3" w:name="p_351"/>
            <w:bookmarkEnd w:id="3"/>
            <w:r w:rsidRPr="00A44C18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4" w:name="p_223"/>
            <w:bookmarkEnd w:id="4"/>
            <w:r w:rsidRPr="00A44C18">
              <w:rPr>
                <w:sz w:val="26"/>
                <w:szCs w:val="26"/>
              </w:rPr>
              <w:t>Размеры коэффициентов к окладам (ставкам)</w:t>
            </w:r>
          </w:p>
        </w:tc>
      </w:tr>
    </w:tbl>
    <w:p w:rsidR="00417823" w:rsidRPr="00A44C18" w:rsidRDefault="00417823" w:rsidP="004178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2779"/>
        <w:gridCol w:w="2471"/>
      </w:tblGrid>
      <w:tr w:rsidR="00417823" w:rsidRPr="00A44C18" w:rsidTr="00417823">
        <w:trPr>
          <w:tblHeader/>
        </w:trPr>
        <w:tc>
          <w:tcPr>
            <w:tcW w:w="4423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r w:rsidRPr="00A44C18"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r w:rsidRPr="00A44C18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r w:rsidRPr="00A44C18">
              <w:rPr>
                <w:sz w:val="26"/>
                <w:szCs w:val="26"/>
              </w:rPr>
              <w:t>3</w:t>
            </w:r>
          </w:p>
        </w:tc>
      </w:tr>
      <w:tr w:rsidR="00417823" w:rsidRPr="00A44C18" w:rsidTr="00417823">
        <w:tc>
          <w:tcPr>
            <w:tcW w:w="4423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5" w:name="p_224"/>
            <w:bookmarkEnd w:id="5"/>
            <w:r w:rsidRPr="00A44C18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6" w:name="p_225"/>
            <w:bookmarkEnd w:id="6"/>
            <w:r w:rsidRPr="00A44C18">
              <w:rPr>
                <w:sz w:val="26"/>
                <w:szCs w:val="26"/>
              </w:rPr>
              <w:t>до 0,02</w:t>
            </w:r>
          </w:p>
        </w:tc>
      </w:tr>
      <w:tr w:rsidR="00417823" w:rsidRPr="00A44C18" w:rsidTr="00417823">
        <w:tc>
          <w:tcPr>
            <w:tcW w:w="4423" w:type="dxa"/>
            <w:vMerge w:val="restart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7" w:name="p_226"/>
            <w:bookmarkEnd w:id="7"/>
            <w:r w:rsidRPr="00A44C18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8" w:name="p_227"/>
            <w:bookmarkEnd w:id="8"/>
            <w:r w:rsidRPr="00A44C18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9" w:name="p_228"/>
            <w:bookmarkEnd w:id="9"/>
            <w:r w:rsidRPr="00A44C18">
              <w:rPr>
                <w:sz w:val="26"/>
                <w:szCs w:val="26"/>
              </w:rPr>
              <w:t>до 0,05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0" w:name="p_229"/>
            <w:bookmarkEnd w:id="10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1" w:name="p_230"/>
            <w:bookmarkEnd w:id="11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0,10</w:t>
            </w:r>
          </w:p>
        </w:tc>
      </w:tr>
      <w:tr w:rsidR="00417823" w:rsidRPr="00A44C18" w:rsidTr="00417823">
        <w:tc>
          <w:tcPr>
            <w:tcW w:w="4423" w:type="dxa"/>
            <w:vMerge w:val="restart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12" w:name="p_231"/>
            <w:bookmarkEnd w:id="12"/>
            <w:r w:rsidRPr="00A44C18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13" w:name="p_232"/>
            <w:bookmarkEnd w:id="13"/>
            <w:r w:rsidRPr="00A44C18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14" w:name="p_233"/>
            <w:bookmarkEnd w:id="14"/>
            <w:r w:rsidRPr="00A44C18">
              <w:rPr>
                <w:sz w:val="26"/>
                <w:szCs w:val="26"/>
              </w:rPr>
              <w:t>до 0,12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5" w:name="p_234"/>
            <w:bookmarkEnd w:id="15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6" w:name="p_235"/>
            <w:bookmarkEnd w:id="16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0,15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7" w:name="p_236"/>
            <w:bookmarkEnd w:id="17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8" w:name="p_237"/>
            <w:bookmarkEnd w:id="18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0,18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19" w:name="p_238"/>
            <w:bookmarkEnd w:id="19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20" w:name="p_239"/>
            <w:bookmarkEnd w:id="20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0,20</w:t>
            </w:r>
          </w:p>
        </w:tc>
      </w:tr>
      <w:tr w:rsidR="00417823" w:rsidRPr="00A44C18" w:rsidTr="00417823">
        <w:tc>
          <w:tcPr>
            <w:tcW w:w="4423" w:type="dxa"/>
            <w:vMerge w:val="restart"/>
          </w:tcPr>
          <w:p w:rsidR="00417823" w:rsidRPr="00A44C18" w:rsidRDefault="00417823" w:rsidP="00417823">
            <w:pPr>
              <w:keepNext/>
              <w:jc w:val="both"/>
              <w:rPr>
                <w:sz w:val="26"/>
                <w:szCs w:val="26"/>
              </w:rPr>
            </w:pPr>
            <w:bookmarkStart w:id="21" w:name="p_240"/>
            <w:bookmarkEnd w:id="21"/>
            <w:r w:rsidRPr="00A44C18">
              <w:rPr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22" w:name="p_241"/>
            <w:bookmarkEnd w:id="22"/>
            <w:r w:rsidRPr="00A44C18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23" w:name="p_242"/>
            <w:bookmarkEnd w:id="23"/>
            <w:r w:rsidRPr="00A44C18">
              <w:rPr>
                <w:sz w:val="26"/>
                <w:szCs w:val="26"/>
              </w:rPr>
              <w:t>до 0,20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24" w:name="p_243"/>
            <w:bookmarkEnd w:id="24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25" w:name="p_244"/>
            <w:bookmarkEnd w:id="25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0,22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26" w:name="p_245"/>
            <w:bookmarkEnd w:id="26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27" w:name="p_246"/>
            <w:bookmarkEnd w:id="27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0,25</w:t>
            </w:r>
          </w:p>
        </w:tc>
      </w:tr>
      <w:tr w:rsidR="00417823" w:rsidRPr="00A44C18" w:rsidTr="00417823">
        <w:tc>
          <w:tcPr>
            <w:tcW w:w="4423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28" w:name="p_247"/>
            <w:bookmarkEnd w:id="28"/>
            <w:r w:rsidRPr="00A44C18">
              <w:rPr>
                <w:sz w:val="26"/>
                <w:szCs w:val="26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29" w:name="p_248"/>
            <w:bookmarkEnd w:id="29"/>
            <w:r w:rsidRPr="00A44C18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30" w:name="p_249"/>
            <w:bookmarkEnd w:id="30"/>
            <w:r w:rsidRPr="00A44C18">
              <w:rPr>
                <w:sz w:val="26"/>
                <w:szCs w:val="26"/>
              </w:rPr>
              <w:t>до 0,12</w:t>
            </w:r>
          </w:p>
        </w:tc>
      </w:tr>
      <w:tr w:rsidR="00417823" w:rsidRPr="00A44C18" w:rsidTr="00417823">
        <w:tc>
          <w:tcPr>
            <w:tcW w:w="4423" w:type="dxa"/>
            <w:vMerge w:val="restart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31" w:name="p_250"/>
            <w:bookmarkEnd w:id="31"/>
            <w:r w:rsidRPr="00A44C18">
              <w:rPr>
                <w:sz w:val="26"/>
                <w:szCs w:val="26"/>
              </w:rPr>
              <w:t>Профессиональная квалификационная группа научных работников и руководителей структурных подразделений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32" w:name="p_251"/>
            <w:bookmarkEnd w:id="32"/>
            <w:r w:rsidRPr="00A44C18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33" w:name="p_252"/>
            <w:bookmarkEnd w:id="33"/>
            <w:r w:rsidRPr="00A44C18">
              <w:rPr>
                <w:sz w:val="26"/>
                <w:szCs w:val="26"/>
              </w:rPr>
              <w:t>до 0,15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4" w:name="p_253"/>
            <w:bookmarkEnd w:id="34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5" w:name="p_254"/>
            <w:bookmarkEnd w:id="35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0,20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6" w:name="p_255"/>
            <w:bookmarkEnd w:id="36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7" w:name="p_256"/>
            <w:bookmarkEnd w:id="37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0,25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8" w:name="p_257"/>
            <w:bookmarkEnd w:id="38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39" w:name="p_258"/>
            <w:bookmarkEnd w:id="39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0,30</w:t>
            </w:r>
          </w:p>
        </w:tc>
      </w:tr>
      <w:tr w:rsidR="00417823" w:rsidRPr="00A44C18" w:rsidTr="00417823">
        <w:tc>
          <w:tcPr>
            <w:tcW w:w="4423" w:type="dxa"/>
            <w:vMerge w:val="restart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40" w:name="p_259"/>
            <w:bookmarkEnd w:id="40"/>
            <w:r w:rsidRPr="00A44C18">
              <w:rPr>
                <w:sz w:val="26"/>
                <w:szCs w:val="26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550" w:type="dxa"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  <w:bookmarkStart w:id="41" w:name="p_260"/>
            <w:bookmarkEnd w:id="41"/>
            <w:r w:rsidRPr="00A44C18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jc w:val="center"/>
              <w:rPr>
                <w:sz w:val="26"/>
                <w:szCs w:val="26"/>
              </w:rPr>
            </w:pPr>
            <w:bookmarkStart w:id="42" w:name="p_261"/>
            <w:bookmarkEnd w:id="42"/>
            <w:r w:rsidRPr="00A44C18">
              <w:rPr>
                <w:sz w:val="26"/>
                <w:szCs w:val="26"/>
              </w:rPr>
              <w:t>до 0,12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3" w:name="p_262"/>
            <w:bookmarkEnd w:id="43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4" w:name="p_263"/>
            <w:bookmarkEnd w:id="44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0,15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5" w:name="p_264"/>
            <w:bookmarkEnd w:id="45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3 квалификационный </w:t>
            </w:r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6" w:name="p_265"/>
            <w:bookmarkEnd w:id="46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до 0,20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7" w:name="p_266"/>
            <w:bookmarkEnd w:id="47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8" w:name="p_267"/>
            <w:bookmarkEnd w:id="48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0,35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49" w:name="p_268"/>
            <w:bookmarkEnd w:id="49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50" w:name="p_269"/>
            <w:bookmarkEnd w:id="50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0,38</w:t>
            </w:r>
          </w:p>
        </w:tc>
      </w:tr>
      <w:tr w:rsidR="00417823" w:rsidRPr="00A44C18" w:rsidTr="00417823">
        <w:tc>
          <w:tcPr>
            <w:tcW w:w="4423" w:type="dxa"/>
            <w:vMerge/>
          </w:tcPr>
          <w:p w:rsidR="00417823" w:rsidRPr="00A44C18" w:rsidRDefault="00417823" w:rsidP="00417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51" w:name="p_270"/>
            <w:bookmarkEnd w:id="51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 квалификационный уровень</w:t>
            </w:r>
          </w:p>
        </w:tc>
        <w:tc>
          <w:tcPr>
            <w:tcW w:w="2267" w:type="dxa"/>
          </w:tcPr>
          <w:p w:rsidR="00417823" w:rsidRPr="00A44C18" w:rsidRDefault="00417823" w:rsidP="004178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bookmarkStart w:id="52" w:name="p_271"/>
            <w:bookmarkEnd w:id="52"/>
            <w:r w:rsidRPr="00A44C18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 0,40</w:t>
            </w:r>
          </w:p>
        </w:tc>
      </w:tr>
    </w:tbl>
    <w:p w:rsidR="00417823" w:rsidRPr="00A44C18" w:rsidRDefault="00417823" w:rsidP="00417823">
      <w:pPr>
        <w:pStyle w:val="Textbody"/>
        <w:widowControl/>
        <w:suppressAutoHyphens w:val="0"/>
        <w:spacing w:after="0"/>
        <w:ind w:firstLine="709"/>
        <w:jc w:val="both"/>
        <w:rPr>
          <w:rFonts w:ascii="Times New Roman" w:hAnsi="Times New Roman"/>
          <w:sz w:val="26"/>
        </w:rPr>
      </w:pPr>
      <w:r w:rsidRPr="00A44C18">
        <w:rPr>
          <w:rFonts w:ascii="Times New Roman" w:hAnsi="Times New Roman"/>
          <w:sz w:val="26"/>
        </w:rPr>
        <w:t xml:space="preserve"> </w:t>
      </w:r>
    </w:p>
    <w:p w:rsidR="00417823" w:rsidRPr="00A44C18" w:rsidRDefault="00417823" w:rsidP="00275E4F">
      <w:pPr>
        <w:pStyle w:val="Textbody"/>
        <w:widowControl/>
        <w:suppressAutoHyphens w:val="0"/>
        <w:spacing w:after="0"/>
        <w:ind w:firstLine="993"/>
        <w:jc w:val="both"/>
        <w:rPr>
          <w:rFonts w:ascii="Times New Roman" w:hAnsi="Times New Roman"/>
          <w:sz w:val="26"/>
        </w:rPr>
      </w:pPr>
      <w:bookmarkStart w:id="53" w:name="p_272"/>
      <w:bookmarkEnd w:id="53"/>
      <w:r w:rsidRPr="00A44C18">
        <w:rPr>
          <w:rFonts w:ascii="Times New Roman" w:hAnsi="Times New Roman"/>
          <w:sz w:val="26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417823" w:rsidRPr="00A44C18" w:rsidRDefault="00417823" w:rsidP="00275E4F">
      <w:pPr>
        <w:pStyle w:val="Textbody"/>
        <w:widowControl/>
        <w:suppressAutoHyphens w:val="0"/>
        <w:spacing w:after="0"/>
        <w:ind w:firstLine="993"/>
        <w:jc w:val="both"/>
        <w:rPr>
          <w:rFonts w:ascii="Times New Roman" w:hAnsi="Times New Roman"/>
          <w:sz w:val="26"/>
        </w:rPr>
      </w:pPr>
      <w:bookmarkStart w:id="54" w:name="p_273"/>
      <w:bookmarkEnd w:id="54"/>
      <w:r w:rsidRPr="00A44C18">
        <w:rPr>
          <w:rFonts w:ascii="Times New Roman" w:hAnsi="Times New Roman"/>
          <w:sz w:val="26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(ставки).»;</w:t>
      </w:r>
    </w:p>
    <w:p w:rsidR="00417823" w:rsidRPr="002A5CFB" w:rsidRDefault="00275E4F" w:rsidP="00275E4F">
      <w:pPr>
        <w:ind w:firstLine="993"/>
        <w:jc w:val="both"/>
        <w:rPr>
          <w:sz w:val="26"/>
        </w:rPr>
      </w:pPr>
      <w:r>
        <w:rPr>
          <w:sz w:val="26"/>
        </w:rPr>
        <w:t>пункт 2.8</w:t>
      </w:r>
      <w:r w:rsidR="00417823" w:rsidRPr="002A5CFB">
        <w:rPr>
          <w:sz w:val="26"/>
        </w:rPr>
        <w:t xml:space="preserve"> признать утратившим силу;</w:t>
      </w:r>
    </w:p>
    <w:p w:rsidR="00417823" w:rsidRPr="002A5CFB" w:rsidRDefault="00275E4F" w:rsidP="00275E4F">
      <w:pPr>
        <w:ind w:firstLine="993"/>
        <w:jc w:val="both"/>
        <w:rPr>
          <w:sz w:val="26"/>
        </w:rPr>
      </w:pPr>
      <w:r>
        <w:rPr>
          <w:sz w:val="26"/>
        </w:rPr>
        <w:t>в пункте 2.9</w:t>
      </w:r>
      <w:r w:rsidR="00417823" w:rsidRPr="002A5CFB">
        <w:rPr>
          <w:sz w:val="26"/>
        </w:rPr>
        <w:t>:</w:t>
      </w:r>
    </w:p>
    <w:p w:rsidR="00417823" w:rsidRPr="002A5CFB" w:rsidRDefault="00417823" w:rsidP="00275E4F">
      <w:pPr>
        <w:ind w:firstLine="993"/>
        <w:jc w:val="both"/>
        <w:rPr>
          <w:sz w:val="26"/>
        </w:rPr>
      </w:pPr>
      <w:r w:rsidRPr="002A5CFB">
        <w:rPr>
          <w:sz w:val="26"/>
        </w:rPr>
        <w:t>в абзаце первом слова «и коэффициенту за сложность» исключить;</w:t>
      </w:r>
    </w:p>
    <w:p w:rsidR="00417823" w:rsidRDefault="00417823" w:rsidP="00275E4F">
      <w:pPr>
        <w:ind w:firstLine="993"/>
        <w:jc w:val="both"/>
        <w:rPr>
          <w:sz w:val="26"/>
        </w:rPr>
      </w:pPr>
      <w:r w:rsidRPr="002A5CFB">
        <w:rPr>
          <w:sz w:val="26"/>
        </w:rPr>
        <w:t>в абзаце четвертом слова «и коэффициенту за сложность» исключить;</w:t>
      </w:r>
    </w:p>
    <w:p w:rsidR="00693245" w:rsidRPr="001817C5" w:rsidRDefault="00275E4F" w:rsidP="00275E4F">
      <w:pPr>
        <w:spacing w:line="235" w:lineRule="auto"/>
        <w:jc w:val="both"/>
        <w:rPr>
          <w:sz w:val="26"/>
        </w:rPr>
      </w:pPr>
      <w:r>
        <w:rPr>
          <w:sz w:val="26"/>
        </w:rPr>
        <w:t xml:space="preserve">               в</w:t>
      </w:r>
      <w:r w:rsidR="00A04260">
        <w:rPr>
          <w:sz w:val="26"/>
        </w:rPr>
        <w:t xml:space="preserve">) </w:t>
      </w:r>
      <w:r w:rsidR="00693245" w:rsidRPr="001817C5">
        <w:rPr>
          <w:sz w:val="26"/>
        </w:rPr>
        <w:t>в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пункте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3.1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раздела</w:t>
      </w:r>
      <w:r w:rsidR="00693245">
        <w:rPr>
          <w:sz w:val="26"/>
        </w:rPr>
        <w:t xml:space="preserve"> </w:t>
      </w:r>
      <w:r w:rsidR="00693245" w:rsidRPr="001817C5">
        <w:rPr>
          <w:sz w:val="26"/>
          <w:lang w:val="en-US"/>
        </w:rPr>
        <w:t>III</w:t>
      </w:r>
      <w:r w:rsidR="00693245" w:rsidRPr="001817C5">
        <w:rPr>
          <w:sz w:val="26"/>
        </w:rPr>
        <w:t>:</w:t>
      </w:r>
    </w:p>
    <w:p w:rsidR="00693245" w:rsidRPr="001817C5" w:rsidRDefault="00275E4F" w:rsidP="00275E4F">
      <w:pPr>
        <w:spacing w:line="235" w:lineRule="auto"/>
        <w:jc w:val="both"/>
        <w:rPr>
          <w:sz w:val="26"/>
        </w:rPr>
      </w:pPr>
      <w:r>
        <w:rPr>
          <w:sz w:val="26"/>
        </w:rPr>
        <w:t xml:space="preserve">               </w:t>
      </w:r>
      <w:r w:rsidR="00693245" w:rsidRPr="001817C5">
        <w:rPr>
          <w:sz w:val="26"/>
        </w:rPr>
        <w:t>таблицу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изложить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в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следующей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редакции:</w:t>
      </w:r>
    </w:p>
    <w:p w:rsidR="00693245" w:rsidRDefault="00693245" w:rsidP="00693245">
      <w:pPr>
        <w:spacing w:line="235" w:lineRule="auto"/>
        <w:ind w:firstLine="709"/>
        <w:jc w:val="both"/>
        <w:rPr>
          <w:sz w:val="26"/>
        </w:rPr>
      </w:pPr>
    </w:p>
    <w:tbl>
      <w:tblPr>
        <w:tblW w:w="930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6"/>
        <w:gridCol w:w="3630"/>
        <w:gridCol w:w="2280"/>
      </w:tblGrid>
      <w:tr w:rsidR="00693245" w:rsidRPr="001817C5" w:rsidTr="00693245">
        <w:tc>
          <w:tcPr>
            <w:tcW w:w="3396" w:type="dxa"/>
            <w:shd w:val="clear" w:color="auto" w:fill="auto"/>
          </w:tcPr>
          <w:p w:rsidR="0069324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«Профессиональные</w:t>
            </w:r>
            <w:r>
              <w:rPr>
                <w:sz w:val="26"/>
                <w:szCs w:val="20"/>
              </w:rPr>
              <w:t xml:space="preserve"> </w:t>
            </w:r>
          </w:p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группы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</w:p>
        </w:tc>
        <w:tc>
          <w:tcPr>
            <w:tcW w:w="3630" w:type="dxa"/>
            <w:shd w:val="clear" w:color="auto" w:fill="auto"/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уровни</w:t>
            </w:r>
          </w:p>
        </w:tc>
        <w:tc>
          <w:tcPr>
            <w:tcW w:w="2280" w:type="dxa"/>
            <w:shd w:val="clear" w:color="auto" w:fill="auto"/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Рекомендуемый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минимальный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размер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оклада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(ставки),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рублей</w:t>
            </w:r>
          </w:p>
        </w:tc>
      </w:tr>
    </w:tbl>
    <w:p w:rsidR="00693245" w:rsidRPr="00482B11" w:rsidRDefault="00693245" w:rsidP="00693245">
      <w:pPr>
        <w:widowControl w:val="0"/>
        <w:suppressAutoHyphens/>
        <w:spacing w:line="235" w:lineRule="auto"/>
        <w:rPr>
          <w:sz w:val="2"/>
        </w:rPr>
      </w:pPr>
    </w:p>
    <w:tbl>
      <w:tblPr>
        <w:tblW w:w="9306" w:type="dxa"/>
        <w:tblInd w:w="-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6"/>
        <w:gridCol w:w="3630"/>
        <w:gridCol w:w="2280"/>
      </w:tblGrid>
      <w:tr w:rsidR="00693245" w:rsidRPr="001817C5" w:rsidTr="00693245">
        <w:trPr>
          <w:tblHeader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</w:p>
        </w:tc>
      </w:tr>
      <w:tr w:rsidR="00693245" w:rsidRPr="001817C5" w:rsidTr="0069324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служащих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первого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275E4F" w:rsidP="00275E4F">
            <w:pPr>
              <w:spacing w:line="235" w:lineRule="auto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6383</w:t>
            </w:r>
          </w:p>
        </w:tc>
      </w:tr>
      <w:tr w:rsidR="00693245" w:rsidRPr="001817C5" w:rsidTr="00693245"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служащих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второго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4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7870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5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8659</w:t>
            </w:r>
          </w:p>
        </w:tc>
      </w:tr>
      <w:tr w:rsidR="00693245" w:rsidRPr="001817C5" w:rsidTr="00693245"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должностей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служащих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третьего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="00614820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45" w:rsidRPr="001817C5" w:rsidRDefault="00614820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7106</w:t>
            </w:r>
          </w:p>
        </w:tc>
      </w:tr>
      <w:tr w:rsidR="00693245" w:rsidRPr="001817C5" w:rsidTr="00D872DE">
        <w:trPr>
          <w:trHeight w:val="728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C2FAC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7817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  <w:p w:rsidR="00693245" w:rsidRPr="001817C5" w:rsidRDefault="00693245" w:rsidP="000D034E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C2FAC" w:rsidP="000D034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8576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4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C2FAC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10300</w:t>
            </w:r>
          </w:p>
        </w:tc>
      </w:tr>
      <w:tr w:rsidR="00693245" w:rsidRPr="001817C5" w:rsidTr="00693245"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5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3C2FAC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10528</w:t>
            </w:r>
            <w:r w:rsidR="00693245" w:rsidRPr="001817C5">
              <w:rPr>
                <w:sz w:val="26"/>
                <w:szCs w:val="20"/>
              </w:rPr>
              <w:t>»;</w:t>
            </w:r>
          </w:p>
        </w:tc>
      </w:tr>
    </w:tbl>
    <w:p w:rsidR="00693245" w:rsidRPr="001817C5" w:rsidRDefault="00693245" w:rsidP="00693245">
      <w:pPr>
        <w:spacing w:line="235" w:lineRule="auto"/>
        <w:ind w:firstLine="709"/>
        <w:jc w:val="both"/>
        <w:rPr>
          <w:sz w:val="26"/>
        </w:rPr>
      </w:pPr>
    </w:p>
    <w:p w:rsidR="00693245" w:rsidRDefault="003C2FAC" w:rsidP="00693245">
      <w:pPr>
        <w:spacing w:line="235" w:lineRule="auto"/>
        <w:ind w:firstLine="1080"/>
        <w:jc w:val="both"/>
        <w:rPr>
          <w:sz w:val="26"/>
        </w:rPr>
      </w:pPr>
      <w:r>
        <w:rPr>
          <w:sz w:val="26"/>
        </w:rPr>
        <w:t>абзац</w:t>
      </w:r>
      <w:r w:rsidR="00693245">
        <w:rPr>
          <w:sz w:val="26"/>
        </w:rPr>
        <w:t xml:space="preserve"> </w:t>
      </w:r>
      <w:r>
        <w:rPr>
          <w:sz w:val="26"/>
        </w:rPr>
        <w:t>второй</w:t>
      </w:r>
      <w:r w:rsidR="00693245">
        <w:rPr>
          <w:sz w:val="26"/>
        </w:rPr>
        <w:t xml:space="preserve"> </w:t>
      </w:r>
      <w:r>
        <w:rPr>
          <w:sz w:val="26"/>
        </w:rPr>
        <w:t>признать утратившим силу</w:t>
      </w:r>
      <w:r w:rsidR="00693245" w:rsidRPr="001817C5">
        <w:rPr>
          <w:sz w:val="26"/>
        </w:rPr>
        <w:t>;</w:t>
      </w:r>
    </w:p>
    <w:p w:rsidR="00693245" w:rsidRPr="006B2AC3" w:rsidRDefault="00693245" w:rsidP="00693245">
      <w:pPr>
        <w:spacing w:line="235" w:lineRule="auto"/>
        <w:ind w:firstLine="709"/>
        <w:jc w:val="both"/>
        <w:rPr>
          <w:sz w:val="26"/>
          <w:szCs w:val="26"/>
        </w:rPr>
      </w:pPr>
    </w:p>
    <w:p w:rsidR="00693245" w:rsidRPr="001817C5" w:rsidRDefault="003C2FAC" w:rsidP="00693245">
      <w:pPr>
        <w:spacing w:line="235" w:lineRule="auto"/>
        <w:ind w:firstLine="1080"/>
        <w:jc w:val="both"/>
        <w:rPr>
          <w:sz w:val="26"/>
        </w:rPr>
      </w:pPr>
      <w:r>
        <w:rPr>
          <w:sz w:val="26"/>
        </w:rPr>
        <w:lastRenderedPageBreak/>
        <w:t xml:space="preserve">г) </w:t>
      </w:r>
      <w:r w:rsidR="00693245" w:rsidRPr="001817C5">
        <w:rPr>
          <w:sz w:val="26"/>
        </w:rPr>
        <w:t>таблицу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пункта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4.1</w:t>
      </w:r>
      <w:r w:rsidR="00693245">
        <w:rPr>
          <w:sz w:val="26"/>
        </w:rPr>
        <w:t xml:space="preserve"> </w:t>
      </w:r>
      <w:r>
        <w:rPr>
          <w:sz w:val="26"/>
        </w:rPr>
        <w:t xml:space="preserve">раздела </w:t>
      </w:r>
      <w:r>
        <w:rPr>
          <w:sz w:val="26"/>
          <w:lang w:val="en-US"/>
        </w:rPr>
        <w:t>IV</w:t>
      </w:r>
      <w:r w:rsidRPr="006817A0">
        <w:rPr>
          <w:sz w:val="26"/>
        </w:rPr>
        <w:t xml:space="preserve"> </w:t>
      </w:r>
      <w:r w:rsidR="00693245" w:rsidRPr="001817C5">
        <w:rPr>
          <w:sz w:val="26"/>
        </w:rPr>
        <w:t>изложить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в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следующей</w:t>
      </w:r>
      <w:r w:rsidR="00693245">
        <w:rPr>
          <w:sz w:val="26"/>
        </w:rPr>
        <w:t xml:space="preserve"> </w:t>
      </w:r>
      <w:r w:rsidR="00693245" w:rsidRPr="001817C5">
        <w:rPr>
          <w:sz w:val="26"/>
        </w:rPr>
        <w:t>редакции:</w:t>
      </w:r>
    </w:p>
    <w:p w:rsidR="00693245" w:rsidRDefault="00693245" w:rsidP="00693245">
      <w:pPr>
        <w:spacing w:line="235" w:lineRule="auto"/>
        <w:ind w:firstLine="709"/>
        <w:jc w:val="both"/>
        <w:rPr>
          <w:sz w:val="26"/>
        </w:rPr>
      </w:pPr>
    </w:p>
    <w:tbl>
      <w:tblPr>
        <w:tblW w:w="9288" w:type="dxa"/>
        <w:tblInd w:w="-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2472"/>
        <w:gridCol w:w="2808"/>
        <w:gridCol w:w="1842"/>
      </w:tblGrid>
      <w:tr w:rsidR="00693245" w:rsidRPr="001817C5" w:rsidTr="0069324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«Профессиональные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9B5B79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Квалификационные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разряды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в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соответствии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Единым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тарифно-квалификационным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справочником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работ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и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профессий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рабочих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Рекомендуемый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минимальный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размер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оклада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(ставки),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рублей</w:t>
            </w:r>
          </w:p>
        </w:tc>
      </w:tr>
      <w:tr w:rsidR="00693245" w:rsidRPr="001817C5" w:rsidTr="00693245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профессий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рабочих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первого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4897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5386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5915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6511</w:t>
            </w:r>
          </w:p>
        </w:tc>
      </w:tr>
      <w:tr w:rsidR="00693245" w:rsidRPr="001817C5" w:rsidTr="00693245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Профессиональная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квалификационная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группа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профессий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рабочих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второго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уровня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1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4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6808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5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7232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2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6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7660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7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6817A0" w:rsidRDefault="006817A0" w:rsidP="000D034E">
            <w:pPr>
              <w:spacing w:line="235" w:lineRule="auto"/>
              <w:jc w:val="center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8083</w:t>
            </w:r>
          </w:p>
        </w:tc>
      </w:tr>
      <w:tr w:rsidR="00693245" w:rsidRPr="001817C5" w:rsidTr="00693245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3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93245" w:rsidP="000D034E">
            <w:pPr>
              <w:spacing w:line="235" w:lineRule="auto"/>
              <w:jc w:val="both"/>
              <w:rPr>
                <w:sz w:val="26"/>
                <w:szCs w:val="20"/>
              </w:rPr>
            </w:pPr>
            <w:r w:rsidRPr="001817C5">
              <w:rPr>
                <w:sz w:val="26"/>
                <w:szCs w:val="20"/>
              </w:rPr>
              <w:t>8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квалификационный</w:t>
            </w:r>
            <w:r>
              <w:rPr>
                <w:sz w:val="26"/>
                <w:szCs w:val="20"/>
              </w:rPr>
              <w:t xml:space="preserve"> </w:t>
            </w:r>
            <w:r w:rsidRPr="001817C5">
              <w:rPr>
                <w:sz w:val="26"/>
                <w:szCs w:val="20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45" w:rsidRPr="001817C5" w:rsidRDefault="006817A0" w:rsidP="000D034E">
            <w:pPr>
              <w:spacing w:line="235" w:lineRule="auto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  <w:lang w:val="en-US"/>
              </w:rPr>
              <w:t>8576</w:t>
            </w:r>
            <w:r w:rsidR="00693245" w:rsidRPr="001817C5">
              <w:rPr>
                <w:sz w:val="26"/>
                <w:szCs w:val="20"/>
              </w:rPr>
              <w:t>»</w:t>
            </w:r>
            <w:r w:rsidR="00D872DE">
              <w:rPr>
                <w:sz w:val="26"/>
                <w:szCs w:val="20"/>
              </w:rPr>
              <w:t>.</w:t>
            </w:r>
          </w:p>
        </w:tc>
      </w:tr>
    </w:tbl>
    <w:p w:rsidR="00693245" w:rsidRPr="00E95C0B" w:rsidRDefault="00693245" w:rsidP="00E95C0B">
      <w:pPr>
        <w:jc w:val="both"/>
        <w:rPr>
          <w:sz w:val="26"/>
          <w:szCs w:val="26"/>
          <w:lang w:val="en-US"/>
        </w:rPr>
      </w:pPr>
    </w:p>
    <w:p w:rsidR="00E95C0B" w:rsidRPr="002A5CFB" w:rsidRDefault="00DB2A15" w:rsidP="00E95C0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bookmarkStart w:id="55" w:name="sub_2"/>
      <w:r w:rsidRPr="00DE125E">
        <w:rPr>
          <w:sz w:val="26"/>
          <w:szCs w:val="26"/>
        </w:rPr>
        <w:t>2. </w:t>
      </w:r>
      <w:bookmarkEnd w:id="55"/>
      <w:r w:rsidR="00E95C0B" w:rsidRPr="002A5CFB">
        <w:rPr>
          <w:sz w:val="26"/>
        </w:rPr>
        <w:t xml:space="preserve"> Настоящее постановление вступает в силу после дня его официального опубликования. </w:t>
      </w:r>
    </w:p>
    <w:p w:rsidR="00E95C0B" w:rsidRPr="002A5CFB" w:rsidRDefault="00E95C0B" w:rsidP="00E95C0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2A5CFB">
        <w:rPr>
          <w:sz w:val="26"/>
        </w:rPr>
        <w:t xml:space="preserve">Действие положений абзаца </w:t>
      </w:r>
      <w:r w:rsidR="008F21AF">
        <w:rPr>
          <w:sz w:val="26"/>
        </w:rPr>
        <w:t>четырнадцатого</w:t>
      </w:r>
      <w:r w:rsidRPr="002A5CFB">
        <w:rPr>
          <w:sz w:val="26"/>
        </w:rPr>
        <w:t xml:space="preserve"> пункта 1 настоящего постановления распространя</w:t>
      </w:r>
      <w:r>
        <w:rPr>
          <w:sz w:val="26"/>
        </w:rPr>
        <w:t>е</w:t>
      </w:r>
      <w:r w:rsidRPr="002A5CFB">
        <w:rPr>
          <w:sz w:val="26"/>
        </w:rPr>
        <w:t xml:space="preserve">тся на правоотношения, возникшие с 1 сентября </w:t>
      </w:r>
      <w:r>
        <w:rPr>
          <w:sz w:val="26"/>
        </w:rPr>
        <w:br/>
      </w:r>
      <w:r w:rsidRPr="002A5CFB">
        <w:rPr>
          <w:sz w:val="26"/>
        </w:rPr>
        <w:t xml:space="preserve">2022 года. </w:t>
      </w:r>
    </w:p>
    <w:p w:rsidR="00E95C0B" w:rsidRPr="002A5CFB" w:rsidRDefault="008F21AF" w:rsidP="00E95C0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Действие положений абзацев одиннадцатого, двадцать девятого и тридцать первого</w:t>
      </w:r>
      <w:r w:rsidRPr="002A5CFB">
        <w:rPr>
          <w:sz w:val="26"/>
        </w:rPr>
        <w:t xml:space="preserve"> </w:t>
      </w:r>
      <w:r w:rsidR="00E95C0B" w:rsidRPr="00042059">
        <w:rPr>
          <w:sz w:val="26"/>
        </w:rPr>
        <w:t>пункта 1 настоящего постановления распространяется на правоотношения, возникшие с 1 октября 2022 года.</w:t>
      </w:r>
    </w:p>
    <w:p w:rsidR="00E95C0B" w:rsidRDefault="00E95C0B" w:rsidP="00E95C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6F11" w:rsidRPr="00DE125E" w:rsidRDefault="00B96F11" w:rsidP="00E95C0B">
      <w:pPr>
        <w:ind w:firstLine="1080"/>
        <w:jc w:val="both"/>
        <w:rPr>
          <w:sz w:val="26"/>
          <w:szCs w:val="26"/>
        </w:rPr>
      </w:pPr>
    </w:p>
    <w:p w:rsidR="007C17DB" w:rsidRPr="00DE125E" w:rsidRDefault="00042059" w:rsidP="00A47E6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55642" w:rsidRPr="00DE125E">
        <w:rPr>
          <w:sz w:val="26"/>
          <w:szCs w:val="26"/>
        </w:rPr>
        <w:t xml:space="preserve"> администрации</w:t>
      </w:r>
    </w:p>
    <w:p w:rsidR="00D26C15" w:rsidRPr="00DE125E" w:rsidRDefault="007C17DB" w:rsidP="00A47E63">
      <w:pPr>
        <w:jc w:val="both"/>
        <w:rPr>
          <w:sz w:val="26"/>
          <w:szCs w:val="26"/>
        </w:rPr>
      </w:pPr>
      <w:r w:rsidRPr="00DE125E">
        <w:rPr>
          <w:sz w:val="26"/>
          <w:szCs w:val="26"/>
        </w:rPr>
        <w:t>Комсомольского</w:t>
      </w:r>
      <w:r w:rsidR="00655642" w:rsidRPr="00DE125E">
        <w:rPr>
          <w:sz w:val="26"/>
          <w:szCs w:val="26"/>
        </w:rPr>
        <w:t xml:space="preserve"> </w:t>
      </w:r>
      <w:r w:rsidR="00EA1797" w:rsidRPr="00DE125E">
        <w:rPr>
          <w:sz w:val="26"/>
          <w:szCs w:val="26"/>
        </w:rPr>
        <w:t xml:space="preserve">района                                                     </w:t>
      </w:r>
      <w:r w:rsidR="00AB228B" w:rsidRPr="00DE125E">
        <w:rPr>
          <w:sz w:val="26"/>
          <w:szCs w:val="26"/>
        </w:rPr>
        <w:t xml:space="preserve">    </w:t>
      </w:r>
      <w:r w:rsidR="007D57E1" w:rsidRPr="00DE125E">
        <w:rPr>
          <w:sz w:val="26"/>
          <w:szCs w:val="26"/>
        </w:rPr>
        <w:t xml:space="preserve">     </w:t>
      </w:r>
      <w:r w:rsidRPr="00DE125E">
        <w:rPr>
          <w:sz w:val="26"/>
          <w:szCs w:val="26"/>
        </w:rPr>
        <w:t xml:space="preserve">        </w:t>
      </w:r>
      <w:r w:rsidR="00AB228B" w:rsidRPr="00DE125E">
        <w:rPr>
          <w:sz w:val="26"/>
          <w:szCs w:val="26"/>
        </w:rPr>
        <w:t xml:space="preserve">  </w:t>
      </w:r>
      <w:r w:rsidR="00DE125E">
        <w:rPr>
          <w:sz w:val="26"/>
          <w:szCs w:val="26"/>
        </w:rPr>
        <w:t xml:space="preserve">   </w:t>
      </w:r>
      <w:r w:rsidR="000D396D">
        <w:rPr>
          <w:sz w:val="26"/>
          <w:szCs w:val="26"/>
        </w:rPr>
        <w:t xml:space="preserve">       </w:t>
      </w:r>
      <w:r w:rsidR="00DE125E">
        <w:rPr>
          <w:sz w:val="26"/>
          <w:szCs w:val="26"/>
        </w:rPr>
        <w:t xml:space="preserve">     </w:t>
      </w:r>
      <w:r w:rsidR="00042059">
        <w:rPr>
          <w:sz w:val="26"/>
          <w:szCs w:val="26"/>
        </w:rPr>
        <w:t>А.Н. Осипов</w:t>
      </w:r>
    </w:p>
    <w:sectPr w:rsidR="00D26C15" w:rsidRPr="00DE125E" w:rsidSect="00916BC7">
      <w:pgSz w:w="11906" w:h="16838"/>
      <w:pgMar w:top="899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64"/>
    <w:multiLevelType w:val="hybridMultilevel"/>
    <w:tmpl w:val="42C879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08F3"/>
    <w:multiLevelType w:val="hybridMultilevel"/>
    <w:tmpl w:val="9D9273F0"/>
    <w:lvl w:ilvl="0" w:tplc="0288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70EB8"/>
    <w:multiLevelType w:val="hybridMultilevel"/>
    <w:tmpl w:val="086A0DC8"/>
    <w:lvl w:ilvl="0" w:tplc="8AD8E78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82460"/>
    <w:multiLevelType w:val="hybridMultilevel"/>
    <w:tmpl w:val="B8CE4A5E"/>
    <w:lvl w:ilvl="0" w:tplc="6BAE6F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8EE"/>
    <w:multiLevelType w:val="hybridMultilevel"/>
    <w:tmpl w:val="1D20D9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B08FE"/>
    <w:multiLevelType w:val="hybridMultilevel"/>
    <w:tmpl w:val="119E4A72"/>
    <w:lvl w:ilvl="0" w:tplc="D7A6B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78093E"/>
    <w:multiLevelType w:val="hybridMultilevel"/>
    <w:tmpl w:val="E43ED4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C4512"/>
    <w:multiLevelType w:val="hybridMultilevel"/>
    <w:tmpl w:val="590488F8"/>
    <w:lvl w:ilvl="0" w:tplc="10DC0C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D5A0D"/>
    <w:multiLevelType w:val="hybridMultilevel"/>
    <w:tmpl w:val="CF50C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77B48"/>
    <w:multiLevelType w:val="hybridMultilevel"/>
    <w:tmpl w:val="E69690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50F44"/>
    <w:multiLevelType w:val="hybridMultilevel"/>
    <w:tmpl w:val="4F5626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3"/>
    <w:rsid w:val="0001520B"/>
    <w:rsid w:val="00016985"/>
    <w:rsid w:val="00034AE7"/>
    <w:rsid w:val="00042059"/>
    <w:rsid w:val="000440D3"/>
    <w:rsid w:val="00061F77"/>
    <w:rsid w:val="0006211A"/>
    <w:rsid w:val="00072AF9"/>
    <w:rsid w:val="00092019"/>
    <w:rsid w:val="00092E65"/>
    <w:rsid w:val="000B2FBF"/>
    <w:rsid w:val="000B3A1A"/>
    <w:rsid w:val="000D034E"/>
    <w:rsid w:val="000D396D"/>
    <w:rsid w:val="000E077D"/>
    <w:rsid w:val="0010479D"/>
    <w:rsid w:val="00122017"/>
    <w:rsid w:val="00135999"/>
    <w:rsid w:val="0017395F"/>
    <w:rsid w:val="00175EB6"/>
    <w:rsid w:val="00184988"/>
    <w:rsid w:val="00187194"/>
    <w:rsid w:val="00190A2E"/>
    <w:rsid w:val="001A4412"/>
    <w:rsid w:val="001A4453"/>
    <w:rsid w:val="001A64D9"/>
    <w:rsid w:val="001A7FE9"/>
    <w:rsid w:val="001B5241"/>
    <w:rsid w:val="001E281B"/>
    <w:rsid w:val="001F41AC"/>
    <w:rsid w:val="001F6867"/>
    <w:rsid w:val="00203BC9"/>
    <w:rsid w:val="002110DD"/>
    <w:rsid w:val="0021598C"/>
    <w:rsid w:val="0025239D"/>
    <w:rsid w:val="00275E4F"/>
    <w:rsid w:val="002914D8"/>
    <w:rsid w:val="002A1058"/>
    <w:rsid w:val="002A40A7"/>
    <w:rsid w:val="002B6C7E"/>
    <w:rsid w:val="002C79E4"/>
    <w:rsid w:val="002D41ED"/>
    <w:rsid w:val="002F331D"/>
    <w:rsid w:val="0031098B"/>
    <w:rsid w:val="00313830"/>
    <w:rsid w:val="00323EE2"/>
    <w:rsid w:val="00343709"/>
    <w:rsid w:val="00346A40"/>
    <w:rsid w:val="00356E09"/>
    <w:rsid w:val="00383CD1"/>
    <w:rsid w:val="003851EF"/>
    <w:rsid w:val="003938C7"/>
    <w:rsid w:val="003964A5"/>
    <w:rsid w:val="003A1082"/>
    <w:rsid w:val="003A4770"/>
    <w:rsid w:val="003B5000"/>
    <w:rsid w:val="003B7CD3"/>
    <w:rsid w:val="003C2FAC"/>
    <w:rsid w:val="003E7E76"/>
    <w:rsid w:val="00417823"/>
    <w:rsid w:val="004238E2"/>
    <w:rsid w:val="00430E0D"/>
    <w:rsid w:val="00443D9C"/>
    <w:rsid w:val="004547E7"/>
    <w:rsid w:val="004556FD"/>
    <w:rsid w:val="00456B44"/>
    <w:rsid w:val="0046065F"/>
    <w:rsid w:val="00460D19"/>
    <w:rsid w:val="00470733"/>
    <w:rsid w:val="0047074B"/>
    <w:rsid w:val="00487B57"/>
    <w:rsid w:val="004A04BE"/>
    <w:rsid w:val="004B0BF1"/>
    <w:rsid w:val="004B13A7"/>
    <w:rsid w:val="004B4A30"/>
    <w:rsid w:val="004E6EB1"/>
    <w:rsid w:val="00510ABE"/>
    <w:rsid w:val="0053663E"/>
    <w:rsid w:val="00542311"/>
    <w:rsid w:val="005442B7"/>
    <w:rsid w:val="0054481A"/>
    <w:rsid w:val="0059060E"/>
    <w:rsid w:val="00592F86"/>
    <w:rsid w:val="00594C94"/>
    <w:rsid w:val="00595144"/>
    <w:rsid w:val="005C1870"/>
    <w:rsid w:val="005C6F98"/>
    <w:rsid w:val="005D4ABD"/>
    <w:rsid w:val="005E5103"/>
    <w:rsid w:val="005F0ABA"/>
    <w:rsid w:val="005F4686"/>
    <w:rsid w:val="00607782"/>
    <w:rsid w:val="00613CB0"/>
    <w:rsid w:val="00614820"/>
    <w:rsid w:val="006207BD"/>
    <w:rsid w:val="00632B9A"/>
    <w:rsid w:val="00643BF7"/>
    <w:rsid w:val="00655642"/>
    <w:rsid w:val="00662387"/>
    <w:rsid w:val="00664B91"/>
    <w:rsid w:val="00664FD8"/>
    <w:rsid w:val="006817A0"/>
    <w:rsid w:val="00687B4A"/>
    <w:rsid w:val="00691A63"/>
    <w:rsid w:val="00693245"/>
    <w:rsid w:val="006A168F"/>
    <w:rsid w:val="006B0B3D"/>
    <w:rsid w:val="006B2AC3"/>
    <w:rsid w:val="006B3D52"/>
    <w:rsid w:val="006B5850"/>
    <w:rsid w:val="006D4FE0"/>
    <w:rsid w:val="006F4E83"/>
    <w:rsid w:val="00702629"/>
    <w:rsid w:val="00712B73"/>
    <w:rsid w:val="00712D0D"/>
    <w:rsid w:val="00713F13"/>
    <w:rsid w:val="00723590"/>
    <w:rsid w:val="00734FBE"/>
    <w:rsid w:val="0075313E"/>
    <w:rsid w:val="00780805"/>
    <w:rsid w:val="007828A4"/>
    <w:rsid w:val="00784D9C"/>
    <w:rsid w:val="007878C2"/>
    <w:rsid w:val="00796106"/>
    <w:rsid w:val="007A1832"/>
    <w:rsid w:val="007A3A8B"/>
    <w:rsid w:val="007A60CB"/>
    <w:rsid w:val="007B04B8"/>
    <w:rsid w:val="007C17DB"/>
    <w:rsid w:val="007C5338"/>
    <w:rsid w:val="007C7D1D"/>
    <w:rsid w:val="007D57E1"/>
    <w:rsid w:val="007E182B"/>
    <w:rsid w:val="007E18BF"/>
    <w:rsid w:val="007E379D"/>
    <w:rsid w:val="007F13FC"/>
    <w:rsid w:val="00825600"/>
    <w:rsid w:val="00832EE6"/>
    <w:rsid w:val="00834A42"/>
    <w:rsid w:val="00835B59"/>
    <w:rsid w:val="00862A06"/>
    <w:rsid w:val="00863385"/>
    <w:rsid w:val="008A7CDA"/>
    <w:rsid w:val="008B1663"/>
    <w:rsid w:val="008B302B"/>
    <w:rsid w:val="008C29F8"/>
    <w:rsid w:val="008C497F"/>
    <w:rsid w:val="008C6F05"/>
    <w:rsid w:val="008E245A"/>
    <w:rsid w:val="008F21AF"/>
    <w:rsid w:val="008F6A0F"/>
    <w:rsid w:val="0090021B"/>
    <w:rsid w:val="00913837"/>
    <w:rsid w:val="00916BC7"/>
    <w:rsid w:val="00926C47"/>
    <w:rsid w:val="009514D9"/>
    <w:rsid w:val="00954BE7"/>
    <w:rsid w:val="00964705"/>
    <w:rsid w:val="009822B1"/>
    <w:rsid w:val="00984BFB"/>
    <w:rsid w:val="00995EEE"/>
    <w:rsid w:val="009A085B"/>
    <w:rsid w:val="009A129C"/>
    <w:rsid w:val="009A2F06"/>
    <w:rsid w:val="009B5B79"/>
    <w:rsid w:val="009D0C49"/>
    <w:rsid w:val="009E6771"/>
    <w:rsid w:val="00A04260"/>
    <w:rsid w:val="00A11DE3"/>
    <w:rsid w:val="00A2369E"/>
    <w:rsid w:val="00A31BE1"/>
    <w:rsid w:val="00A3507D"/>
    <w:rsid w:val="00A44C18"/>
    <w:rsid w:val="00A47E63"/>
    <w:rsid w:val="00A62330"/>
    <w:rsid w:val="00A66AF9"/>
    <w:rsid w:val="00AB228B"/>
    <w:rsid w:val="00AD46D1"/>
    <w:rsid w:val="00AE2393"/>
    <w:rsid w:val="00AE2CA6"/>
    <w:rsid w:val="00AF7A26"/>
    <w:rsid w:val="00B21A7F"/>
    <w:rsid w:val="00B326D4"/>
    <w:rsid w:val="00B6318A"/>
    <w:rsid w:val="00B73EA1"/>
    <w:rsid w:val="00B77E6F"/>
    <w:rsid w:val="00B96F11"/>
    <w:rsid w:val="00BA7CB9"/>
    <w:rsid w:val="00BB30AD"/>
    <w:rsid w:val="00BB7659"/>
    <w:rsid w:val="00BC4CBA"/>
    <w:rsid w:val="00BE620C"/>
    <w:rsid w:val="00BF7310"/>
    <w:rsid w:val="00C009F3"/>
    <w:rsid w:val="00C10D83"/>
    <w:rsid w:val="00C24F0F"/>
    <w:rsid w:val="00C31A21"/>
    <w:rsid w:val="00C33F1F"/>
    <w:rsid w:val="00C366AE"/>
    <w:rsid w:val="00C637ED"/>
    <w:rsid w:val="00C6429B"/>
    <w:rsid w:val="00CA65FD"/>
    <w:rsid w:val="00CB4E9E"/>
    <w:rsid w:val="00CB54BF"/>
    <w:rsid w:val="00CC16C7"/>
    <w:rsid w:val="00CE26E8"/>
    <w:rsid w:val="00CF150A"/>
    <w:rsid w:val="00D01325"/>
    <w:rsid w:val="00D030E9"/>
    <w:rsid w:val="00D20402"/>
    <w:rsid w:val="00D2389B"/>
    <w:rsid w:val="00D26C15"/>
    <w:rsid w:val="00D30921"/>
    <w:rsid w:val="00D57C30"/>
    <w:rsid w:val="00D627F2"/>
    <w:rsid w:val="00D749D7"/>
    <w:rsid w:val="00D75013"/>
    <w:rsid w:val="00D80AE6"/>
    <w:rsid w:val="00D83B93"/>
    <w:rsid w:val="00D872DE"/>
    <w:rsid w:val="00D96DB4"/>
    <w:rsid w:val="00DA4848"/>
    <w:rsid w:val="00DA5564"/>
    <w:rsid w:val="00DA7245"/>
    <w:rsid w:val="00DB2A15"/>
    <w:rsid w:val="00DB632C"/>
    <w:rsid w:val="00DC33CB"/>
    <w:rsid w:val="00DD02CD"/>
    <w:rsid w:val="00DE125E"/>
    <w:rsid w:val="00E11396"/>
    <w:rsid w:val="00E26E3A"/>
    <w:rsid w:val="00E325BE"/>
    <w:rsid w:val="00E41E03"/>
    <w:rsid w:val="00E42330"/>
    <w:rsid w:val="00E560EA"/>
    <w:rsid w:val="00E562F6"/>
    <w:rsid w:val="00E6109A"/>
    <w:rsid w:val="00E754E5"/>
    <w:rsid w:val="00E762F3"/>
    <w:rsid w:val="00E83BA8"/>
    <w:rsid w:val="00E852C1"/>
    <w:rsid w:val="00E92F6B"/>
    <w:rsid w:val="00E958F5"/>
    <w:rsid w:val="00E95C0B"/>
    <w:rsid w:val="00EA1797"/>
    <w:rsid w:val="00EC0C8D"/>
    <w:rsid w:val="00ED6A3D"/>
    <w:rsid w:val="00EE039E"/>
    <w:rsid w:val="00EE1EBD"/>
    <w:rsid w:val="00EF3831"/>
    <w:rsid w:val="00EF3FFA"/>
    <w:rsid w:val="00EF7DFE"/>
    <w:rsid w:val="00F05F54"/>
    <w:rsid w:val="00F17C8D"/>
    <w:rsid w:val="00F25004"/>
    <w:rsid w:val="00F2541E"/>
    <w:rsid w:val="00F2685C"/>
    <w:rsid w:val="00F32E70"/>
    <w:rsid w:val="00F333EF"/>
    <w:rsid w:val="00F35D21"/>
    <w:rsid w:val="00F50057"/>
    <w:rsid w:val="00F53011"/>
    <w:rsid w:val="00F6495B"/>
    <w:rsid w:val="00F737F5"/>
    <w:rsid w:val="00F830FF"/>
    <w:rsid w:val="00F831FB"/>
    <w:rsid w:val="00F943F2"/>
    <w:rsid w:val="00FA5207"/>
    <w:rsid w:val="00FA74EF"/>
    <w:rsid w:val="00FA7BC5"/>
    <w:rsid w:val="00FB01EE"/>
    <w:rsid w:val="00FC5263"/>
    <w:rsid w:val="00FD498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237C9-6D4B-4E79-B103-ED376722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9A"/>
    <w:rPr>
      <w:sz w:val="24"/>
      <w:szCs w:val="24"/>
    </w:rPr>
  </w:style>
  <w:style w:type="paragraph" w:styleId="1">
    <w:name w:val="heading 1"/>
    <w:basedOn w:val="a"/>
    <w:next w:val="a"/>
    <w:qFormat/>
    <w:rsid w:val="00E6109A"/>
    <w:pPr>
      <w:keepNext/>
      <w:ind w:right="-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385"/>
    <w:pPr>
      <w:ind w:firstLine="234"/>
      <w:jc w:val="center"/>
    </w:pPr>
    <w:rPr>
      <w:sz w:val="28"/>
    </w:rPr>
  </w:style>
  <w:style w:type="paragraph" w:customStyle="1" w:styleId="a4">
    <w:name w:val="Таблицы (моноширинный)"/>
    <w:basedOn w:val="a"/>
    <w:next w:val="a"/>
    <w:rsid w:val="00862A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Комментарий"/>
    <w:basedOn w:val="a"/>
    <w:next w:val="a"/>
    <w:rsid w:val="00FA52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0621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23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2369E"/>
    <w:rPr>
      <w:sz w:val="16"/>
      <w:szCs w:val="16"/>
    </w:rPr>
  </w:style>
  <w:style w:type="character" w:styleId="a8">
    <w:name w:val="Hyperlink"/>
    <w:basedOn w:val="a0"/>
    <w:rsid w:val="00A47E63"/>
    <w:rPr>
      <w:color w:val="0000FF"/>
      <w:u w:val="single"/>
    </w:rPr>
  </w:style>
  <w:style w:type="paragraph" w:customStyle="1" w:styleId="ConsPlusNormal">
    <w:name w:val="ConsPlusNormal"/>
    <w:rsid w:val="00D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24F0F"/>
  </w:style>
  <w:style w:type="character" w:customStyle="1" w:styleId="a9">
    <w:name w:val="Гипертекстовая ссылка"/>
    <w:basedOn w:val="a0"/>
    <w:rsid w:val="0010479D"/>
    <w:rPr>
      <w:color w:val="106BBE"/>
    </w:rPr>
  </w:style>
  <w:style w:type="character" w:styleId="aa">
    <w:name w:val="Emphasis"/>
    <w:basedOn w:val="a0"/>
    <w:uiPriority w:val="20"/>
    <w:qFormat/>
    <w:rsid w:val="006B2AC3"/>
    <w:rPr>
      <w:i/>
      <w:iCs/>
    </w:rPr>
  </w:style>
  <w:style w:type="paragraph" w:customStyle="1" w:styleId="Textbody">
    <w:name w:val="Text body"/>
    <w:basedOn w:val="a"/>
    <w:rsid w:val="0041782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417823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msonormalmrcssattr">
    <w:name w:val="msonormal_mr_css_attr"/>
    <w:basedOn w:val="a"/>
    <w:rsid w:val="00E95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служба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Адм.Комсомольского района ЧР Соколова О.Р.</cp:lastModifiedBy>
  <cp:revision>2</cp:revision>
  <cp:lastPrinted>2022-11-25T12:56:00Z</cp:lastPrinted>
  <dcterms:created xsi:type="dcterms:W3CDTF">2022-12-01T06:39:00Z</dcterms:created>
  <dcterms:modified xsi:type="dcterms:W3CDTF">2022-12-01T06:39:00Z</dcterms:modified>
</cp:coreProperties>
</file>