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43" w:rsidRPr="00094643" w:rsidRDefault="00094643" w:rsidP="00094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3"/>
      </w:tblGrid>
      <w:tr w:rsidR="00094643" w:rsidRPr="00094643" w:rsidTr="0049243E">
        <w:tc>
          <w:tcPr>
            <w:tcW w:w="4785" w:type="dxa"/>
          </w:tcPr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Согласовано:</w:t>
            </w:r>
          </w:p>
          <w:p w:rsid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Глава Мариинско-Посадского</w:t>
            </w:r>
          </w:p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94643">
              <w:rPr>
                <w:rFonts w:ascii="Calibri" w:eastAsia="Calibri" w:hAnsi="Calibri" w:cs="Times New Roman"/>
              </w:rPr>
              <w:t xml:space="preserve"> </w:t>
            </w:r>
            <w:r w:rsidR="00B3238D">
              <w:rPr>
                <w:rFonts w:ascii="Calibri" w:eastAsia="Calibri" w:hAnsi="Calibri" w:cs="Times New Roman"/>
              </w:rPr>
              <w:t>м</w:t>
            </w:r>
            <w:r w:rsidR="00626661">
              <w:rPr>
                <w:rFonts w:ascii="Calibri" w:eastAsia="Calibri" w:hAnsi="Calibri" w:cs="Times New Roman"/>
              </w:rPr>
              <w:t>униципального округа</w:t>
            </w:r>
            <w:r w:rsidRPr="00094643">
              <w:rPr>
                <w:rFonts w:ascii="Calibri" w:eastAsia="Calibri" w:hAnsi="Calibri" w:cs="Times New Roman"/>
              </w:rPr>
              <w:t xml:space="preserve">     </w:t>
            </w:r>
          </w:p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94643">
              <w:rPr>
                <w:rFonts w:ascii="Calibri" w:eastAsia="Calibri" w:hAnsi="Calibri" w:cs="Times New Roman"/>
              </w:rPr>
              <w:t xml:space="preserve">_____________________    </w:t>
            </w:r>
            <w:r w:rsidR="00626661">
              <w:rPr>
                <w:rFonts w:ascii="Calibri" w:eastAsia="Calibri" w:hAnsi="Calibri" w:cs="Times New Roman"/>
              </w:rPr>
              <w:t>В.В. Петров</w:t>
            </w:r>
            <w:r w:rsidRPr="00094643">
              <w:rPr>
                <w:rFonts w:ascii="Calibri" w:eastAsia="Calibri" w:hAnsi="Calibri" w:cs="Times New Roman"/>
              </w:rPr>
              <w:t xml:space="preserve">    </w:t>
            </w:r>
          </w:p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094643" w:rsidRPr="00094643" w:rsidRDefault="00094643" w:rsidP="0062666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94643">
              <w:rPr>
                <w:rFonts w:ascii="Calibri" w:eastAsia="Calibri" w:hAnsi="Calibri" w:cs="Times New Roman"/>
              </w:rPr>
              <w:t>«_____» ________________202</w:t>
            </w:r>
            <w:r w:rsidR="00626661">
              <w:rPr>
                <w:rFonts w:ascii="Calibri" w:eastAsia="Calibri" w:hAnsi="Calibri" w:cs="Times New Roman"/>
              </w:rPr>
              <w:t>3</w:t>
            </w:r>
            <w:r w:rsidRPr="00094643">
              <w:rPr>
                <w:rFonts w:ascii="Calibri" w:eastAsia="Calibri" w:hAnsi="Calibri" w:cs="Times New Roman"/>
              </w:rPr>
              <w:t xml:space="preserve"> г.                           </w:t>
            </w:r>
          </w:p>
        </w:tc>
        <w:tc>
          <w:tcPr>
            <w:tcW w:w="4786" w:type="dxa"/>
          </w:tcPr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proofErr w:type="gramStart"/>
            <w:r w:rsidRPr="00094643">
              <w:rPr>
                <w:rFonts w:ascii="Calibri" w:eastAsia="Calibri" w:hAnsi="Calibri" w:cs="Times New Roman"/>
              </w:rPr>
              <w:t>Утверждаю</w:t>
            </w:r>
            <w:r w:rsidR="0077630F">
              <w:rPr>
                <w:rFonts w:ascii="Calibri" w:eastAsia="Calibri" w:hAnsi="Calibri" w:cs="Times New Roman"/>
              </w:rPr>
              <w:t>:</w:t>
            </w:r>
            <w:bookmarkStart w:id="0" w:name="_GoBack"/>
            <w:bookmarkEnd w:id="0"/>
            <w:r w:rsidRPr="00094643">
              <w:rPr>
                <w:rFonts w:ascii="Calibri" w:eastAsia="Calibri" w:hAnsi="Calibri" w:cs="Times New Roman"/>
              </w:rPr>
              <w:t xml:space="preserve">   </w:t>
            </w:r>
            <w:proofErr w:type="gramEnd"/>
            <w:r w:rsidRPr="00094643">
              <w:rPr>
                <w:rFonts w:ascii="Calibri" w:eastAsia="Calibri" w:hAnsi="Calibri" w:cs="Times New Roman"/>
              </w:rPr>
              <w:t xml:space="preserve">                                                          Председатель Мариинско-Посадского</w:t>
            </w:r>
          </w:p>
          <w:p w:rsidR="00094643" w:rsidRPr="00094643" w:rsidRDefault="00626661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 xml:space="preserve">муниципального </w:t>
            </w:r>
            <w:r w:rsidR="00094643" w:rsidRPr="00094643">
              <w:rPr>
                <w:rFonts w:ascii="Calibri" w:eastAsia="Calibri" w:hAnsi="Calibri" w:cs="Times New Roman"/>
              </w:rPr>
              <w:t xml:space="preserve"> отделения</w:t>
            </w:r>
            <w:proofErr w:type="gramEnd"/>
            <w:r w:rsidR="00094643" w:rsidRPr="00094643">
              <w:rPr>
                <w:rFonts w:ascii="Calibri" w:eastAsia="Calibri" w:hAnsi="Calibri" w:cs="Times New Roman"/>
              </w:rPr>
              <w:t xml:space="preserve">  ОО</w:t>
            </w:r>
            <w:r w:rsidR="00D82EE9">
              <w:rPr>
                <w:rFonts w:ascii="Calibri" w:eastAsia="Calibri" w:hAnsi="Calibri" w:cs="Times New Roman"/>
              </w:rPr>
              <w:t>О</w:t>
            </w:r>
            <w:r w:rsidR="00094643" w:rsidRPr="00094643">
              <w:rPr>
                <w:rFonts w:ascii="Calibri" w:eastAsia="Calibri" w:hAnsi="Calibri" w:cs="Times New Roman"/>
              </w:rPr>
              <w:t xml:space="preserve"> «Союз пенсионеров России»                      ______________________</w:t>
            </w:r>
            <w:proofErr w:type="spellStart"/>
            <w:r w:rsidR="00094643" w:rsidRPr="00094643">
              <w:rPr>
                <w:rFonts w:ascii="Calibri" w:eastAsia="Calibri" w:hAnsi="Calibri" w:cs="Times New Roman"/>
              </w:rPr>
              <w:t>Р.Н.Ракова</w:t>
            </w:r>
            <w:proofErr w:type="spellEnd"/>
          </w:p>
          <w:p w:rsidR="00094643" w:rsidRPr="00094643" w:rsidRDefault="00094643" w:rsidP="00094643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094643" w:rsidRPr="00094643" w:rsidRDefault="00094643" w:rsidP="0062666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94643">
              <w:rPr>
                <w:rFonts w:ascii="Calibri" w:eastAsia="Calibri" w:hAnsi="Calibri" w:cs="Times New Roman"/>
              </w:rPr>
              <w:t>«_____»___________________202</w:t>
            </w:r>
            <w:r w:rsidR="00626661">
              <w:rPr>
                <w:rFonts w:ascii="Calibri" w:eastAsia="Calibri" w:hAnsi="Calibri" w:cs="Times New Roman"/>
              </w:rPr>
              <w:t>3</w:t>
            </w:r>
            <w:r w:rsidRPr="00094643">
              <w:rPr>
                <w:rFonts w:ascii="Calibri" w:eastAsia="Calibri" w:hAnsi="Calibri" w:cs="Times New Roman"/>
              </w:rPr>
              <w:t xml:space="preserve">  г.</w:t>
            </w:r>
          </w:p>
        </w:tc>
      </w:tr>
    </w:tbl>
    <w:p w:rsidR="00094643" w:rsidRPr="00094643" w:rsidRDefault="00094643" w:rsidP="00094643">
      <w:pPr>
        <w:spacing w:after="0" w:line="276" w:lineRule="auto"/>
        <w:rPr>
          <w:rFonts w:ascii="Calibri" w:eastAsia="Calibri" w:hAnsi="Calibri" w:cs="Times New Roman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о районном этапе </w:t>
      </w:r>
      <w:r w:rsidRPr="00094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="00626661" w:rsidRPr="00D82E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26661" w:rsidRPr="00D82EE9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республиканской </w:t>
      </w:r>
      <w:r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 спартакиады</w:t>
      </w:r>
      <w:proofErr w:type="gramEnd"/>
      <w:r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 пенсионеров России</w:t>
      </w: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1.Общее положение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Спартакиада пенсионеров проводятся в целях: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- пропаганды и популяризации ценностей физической к</w:t>
      </w:r>
      <w:r w:rsidR="00626661" w:rsidRPr="00D82EE9">
        <w:rPr>
          <w:rFonts w:ascii="Times New Roman" w:eastAsia="Calibri" w:hAnsi="Times New Roman" w:cs="Times New Roman"/>
          <w:sz w:val="24"/>
          <w:szCs w:val="24"/>
        </w:rPr>
        <w:t>ультуры и спорта среди пожилых л</w:t>
      </w:r>
      <w:r w:rsidRPr="00094643">
        <w:rPr>
          <w:rFonts w:ascii="Times New Roman" w:eastAsia="Calibri" w:hAnsi="Times New Roman" w:cs="Times New Roman"/>
          <w:sz w:val="24"/>
          <w:szCs w:val="24"/>
        </w:rPr>
        <w:t>юдей, как важного фактора активного долголетия;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- привлечения людей старшего возраста к систематическим занятиям физической культурой и спортом.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- выявление лучших спортсменов для участия в республиканском этапе спартакиады.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2. Место и сроки проведения</w:t>
      </w:r>
    </w:p>
    <w:p w:rsidR="00094643" w:rsidRPr="00094643" w:rsidRDefault="00626661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sz w:val="24"/>
          <w:szCs w:val="24"/>
        </w:rPr>
        <w:t>С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оревнования </w:t>
      </w:r>
      <w:r w:rsidRPr="00D82EE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D82EE9">
        <w:rPr>
          <w:rFonts w:ascii="Times New Roman" w:eastAsia="Calibri" w:hAnsi="Times New Roman" w:cs="Times New Roman"/>
          <w:sz w:val="24"/>
          <w:szCs w:val="24"/>
        </w:rPr>
        <w:t>проводятся  14</w:t>
      </w:r>
      <w:proofErr w:type="gramEnd"/>
      <w:r w:rsidRPr="00D82EE9">
        <w:rPr>
          <w:rFonts w:ascii="Times New Roman" w:eastAsia="Calibri" w:hAnsi="Times New Roman" w:cs="Times New Roman"/>
          <w:sz w:val="24"/>
          <w:szCs w:val="24"/>
        </w:rPr>
        <w:t xml:space="preserve"> февраля в 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 9 час. 30 мин. в физкультурно-спортивном комплексе «Мариинский» им. Е. Николаевой.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3. Организаторы соревнования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Общее руководство соревнованиями</w:t>
      </w:r>
      <w:r w:rsidR="00626661" w:rsidRPr="00D82EE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94643" w:rsidRPr="00094643" w:rsidRDefault="00094643" w:rsidP="000946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Мариинско-Посадский </w:t>
      </w:r>
      <w:r w:rsidR="00B3238D" w:rsidRPr="00D82EE9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094643">
        <w:rPr>
          <w:rFonts w:ascii="Times New Roman" w:eastAsia="Calibri" w:hAnsi="Times New Roman" w:cs="Times New Roman"/>
          <w:sz w:val="24"/>
          <w:szCs w:val="24"/>
        </w:rPr>
        <w:t>совет общественной организации «Союз пенсионеров России».</w:t>
      </w:r>
    </w:p>
    <w:p w:rsidR="00094643" w:rsidRPr="00094643" w:rsidRDefault="00094643" w:rsidP="000946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Администрация ФСК «Мариинский» - подготовка спортивных 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сооружений,  возложение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работы судейской коллегии.</w:t>
      </w:r>
    </w:p>
    <w:p w:rsidR="00094643" w:rsidRPr="00094643" w:rsidRDefault="00626661" w:rsidP="000946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sz w:val="24"/>
          <w:szCs w:val="24"/>
        </w:rPr>
        <w:t xml:space="preserve">Начальники </w:t>
      </w:r>
      <w:proofErr w:type="gramStart"/>
      <w:r w:rsidRPr="00D82EE9">
        <w:rPr>
          <w:rFonts w:ascii="Times New Roman" w:eastAsia="Calibri" w:hAnsi="Times New Roman" w:cs="Times New Roman"/>
          <w:sz w:val="24"/>
          <w:szCs w:val="24"/>
        </w:rPr>
        <w:t xml:space="preserve">территориальных 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238D" w:rsidRPr="00D82EE9">
        <w:rPr>
          <w:rFonts w:ascii="Times New Roman" w:eastAsia="Calibri" w:hAnsi="Times New Roman" w:cs="Times New Roman"/>
          <w:sz w:val="24"/>
          <w:szCs w:val="24"/>
        </w:rPr>
        <w:t>отделний</w:t>
      </w:r>
      <w:proofErr w:type="spellEnd"/>
      <w:proofErr w:type="gramEnd"/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 - помощь в организации выезда участников соревнования.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4. Требования к участникам и условия допуска.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Возраст участников в районных соревнованиях: мужчины - 60 лет и старше, женщины – 55 лет и старше.</w:t>
      </w:r>
    </w:p>
    <w:p w:rsidR="00094643" w:rsidRPr="00094643" w:rsidRDefault="00D82EE9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sz w:val="24"/>
          <w:szCs w:val="24"/>
        </w:rPr>
        <w:t>Состав команды -6 чел. (3 женщины, 3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 мужчины) </w:t>
      </w:r>
      <w:r w:rsidR="00094643"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Один участник команды может выступать </w:t>
      </w:r>
      <w:r w:rsidR="00B3238D" w:rsidRPr="00D82EE9">
        <w:rPr>
          <w:rFonts w:ascii="Times New Roman" w:eastAsia="Calibri" w:hAnsi="Times New Roman" w:cs="Times New Roman"/>
          <w:b/>
          <w:sz w:val="24"/>
          <w:szCs w:val="24"/>
        </w:rPr>
        <w:t>только в одном виде</w:t>
      </w:r>
      <w:r w:rsidR="00094643"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кроме </w:t>
      </w:r>
      <w:proofErr w:type="spellStart"/>
      <w:r w:rsidR="00094643" w:rsidRPr="00094643">
        <w:rPr>
          <w:rFonts w:ascii="Times New Roman" w:eastAsia="Calibri" w:hAnsi="Times New Roman" w:cs="Times New Roman"/>
          <w:sz w:val="24"/>
          <w:szCs w:val="24"/>
        </w:rPr>
        <w:t>Дартс</w:t>
      </w:r>
      <w:proofErr w:type="spellEnd"/>
      <w:r w:rsidR="00094643" w:rsidRPr="00094643">
        <w:rPr>
          <w:rFonts w:ascii="Times New Roman" w:eastAsia="Calibri" w:hAnsi="Times New Roman" w:cs="Times New Roman"/>
          <w:sz w:val="24"/>
          <w:szCs w:val="24"/>
        </w:rPr>
        <w:t xml:space="preserve"> и Комбинированная эстафета).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94643">
        <w:rPr>
          <w:rFonts w:ascii="Times New Roman" w:eastAsia="Calibri" w:hAnsi="Times New Roman" w:cs="Times New Roman"/>
          <w:b/>
          <w:sz w:val="24"/>
          <w:szCs w:val="24"/>
        </w:rPr>
        <w:t>Команда  должна</w:t>
      </w:r>
      <w:proofErr w:type="gramEnd"/>
      <w:r w:rsidRPr="00094643">
        <w:rPr>
          <w:rFonts w:ascii="Times New Roman" w:eastAsia="Calibri" w:hAnsi="Times New Roman" w:cs="Times New Roman"/>
          <w:b/>
          <w:sz w:val="24"/>
          <w:szCs w:val="24"/>
        </w:rPr>
        <w:t xml:space="preserve"> иметь единую форму,  все участники  иметь допуск врача.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643" w:rsidRPr="00D82EE9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5. Программа спартакиады</w:t>
      </w:r>
    </w:p>
    <w:p w:rsidR="00D82EE9" w:rsidRPr="00D82EE9" w:rsidRDefault="00D82EE9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EE9" w:rsidRPr="00094643" w:rsidRDefault="00D82EE9" w:rsidP="00D82EE9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i/>
          <w:sz w:val="24"/>
          <w:szCs w:val="24"/>
        </w:rPr>
        <w:t>Комбинированная эстафета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Соревнования командные. В соревнованиях принимают участие все члены команды. Каждый участник принимает участие только в одном этапе эстафеты.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Этапы комбинированной эстафеты: северная (скандинавская) ходьба, броски мяча в баскетбольную корзину, ведение футбольного мяча, метание дротиков по воздушным шарам, бег с теннисной ракеткой и чеканкой мяча, бег с препятствиями с преодолением четырех легкоатлетических барьеров под планкой, удары футбольным мячом по хоккейным воротам, гладкий бег.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lastRenderedPageBreak/>
        <w:t>Броски мяча в баскетбольную корзину выполняются до первого попадания из трех попыток. Метание дротиков – до первого лопнувшего шара из трех попыток. Удары футбольным мячом по футбольным воротам – до первого попадания в ворота из трех попыток. За каждый невыполненный или выполненный с нарушением этап начисляются штрафные секунды в количестве 10 баллов.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Победители и призеры определяются по наименьшему времени, затраченному на эстафету.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EE9" w:rsidRPr="00D82EE9" w:rsidRDefault="00D82EE9" w:rsidP="00D82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>Дартс</w:t>
      </w:r>
      <w:proofErr w:type="spellEnd"/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</w:p>
    <w:p w:rsidR="00D82EE9" w:rsidRPr="00D82EE9" w:rsidRDefault="00D82EE9" w:rsidP="00D82E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Соревнования лично-командные. В соревнованиях принимают участие все члены команды. Система проведения соревнований определяется ГСК.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 xml:space="preserve">Выполняются 1 пробный подход (3 дротика) по мишени, затем 5 подходов по 3 дротика зачетных. Соревнования проводится по упражнению – набор очков (в зачет идут все дротики, попавшие в мишень, в </w:t>
      </w:r>
      <w:proofErr w:type="spellStart"/>
      <w:r w:rsidRPr="00D82E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82EE9">
        <w:rPr>
          <w:rFonts w:ascii="Times New Roman" w:hAnsi="Times New Roman" w:cs="Times New Roman"/>
          <w:sz w:val="24"/>
          <w:szCs w:val="24"/>
        </w:rPr>
        <w:t>. в сектора, сектора удвоения, сектора утроения и центр мишени, при этом упавшие, отскочившие, не коснувшиеся иглой мишени дротики, а также не попавшие в сектора мишени дротики в зачет не идут). Участникам команды, не принявшим участие в соревновании, присуждается последнее место.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Соревнования проводятся на мишенях организаторов, соответствующих требованиям правил вида спорта «</w:t>
      </w:r>
      <w:proofErr w:type="spellStart"/>
      <w:r w:rsidRPr="00D82EE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D82EE9">
        <w:rPr>
          <w:rFonts w:ascii="Times New Roman" w:hAnsi="Times New Roman" w:cs="Times New Roman"/>
          <w:sz w:val="24"/>
          <w:szCs w:val="24"/>
        </w:rPr>
        <w:t>». Каждый участник должен иметь набор дротиков, которые являются личным снаряжением. Характеристики дротиков должны соответствовать требованиям правил вида спорта «</w:t>
      </w:r>
      <w:proofErr w:type="spellStart"/>
      <w:r w:rsidRPr="00D82EE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D82EE9">
        <w:rPr>
          <w:rFonts w:ascii="Times New Roman" w:hAnsi="Times New Roman" w:cs="Times New Roman"/>
          <w:sz w:val="24"/>
          <w:szCs w:val="24"/>
        </w:rPr>
        <w:t>». Победитель в личном первенстве определяется по лучшему результату среди участников раздельно среди мужчин и женщин.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Командное первенство определяется по наименьшей сумме мест, занятых всеми участниками команды.</w:t>
      </w:r>
    </w:p>
    <w:p w:rsidR="00D82EE9" w:rsidRPr="00D82EE9" w:rsidRDefault="00D82EE9" w:rsidP="00D82E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EE9" w:rsidRPr="00D82EE9" w:rsidRDefault="00D82EE9" w:rsidP="00D82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9">
        <w:rPr>
          <w:rFonts w:ascii="Times New Roman" w:hAnsi="Times New Roman" w:cs="Times New Roman"/>
          <w:b/>
          <w:sz w:val="24"/>
          <w:szCs w:val="24"/>
        </w:rPr>
        <w:t>Шахматы</w:t>
      </w:r>
    </w:p>
    <w:p w:rsidR="00D82EE9" w:rsidRPr="00D82EE9" w:rsidRDefault="00D82EE9" w:rsidP="00D82E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Соревнования личные. В соревнованиях принимают участие 2 человека от команды (1 мужчина и 1 женщина). Соревнования проводятся по правилам быстрых шахмат. Система соревнований определяется ГСК в зависимости от количества участников. Победители определяются по лучшему результату раздельно среди мужчин и женщин.</w:t>
      </w:r>
    </w:p>
    <w:p w:rsidR="00D82EE9" w:rsidRPr="00D82EE9" w:rsidRDefault="00D82EE9" w:rsidP="00D82E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E9">
        <w:rPr>
          <w:rFonts w:ascii="Times New Roman" w:hAnsi="Times New Roman" w:cs="Times New Roman"/>
          <w:b/>
          <w:sz w:val="24"/>
          <w:szCs w:val="24"/>
        </w:rPr>
        <w:t>Соревнования проводятся по швейцарской системе в 7 туров с контролем времени 10 минут до конца партии.</w:t>
      </w:r>
    </w:p>
    <w:p w:rsidR="00D82EE9" w:rsidRPr="00D82EE9" w:rsidRDefault="00D82EE9" w:rsidP="00D82E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определяются по наибольшему количеству набранных очков. В случае равенства набранных очков применяются следующие дополнительные показатели в порядке убывания их значимости: </w:t>
      </w:r>
    </w:p>
    <w:p w:rsidR="00D82EE9" w:rsidRPr="00D82EE9" w:rsidRDefault="00D82EE9" w:rsidP="00D82E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 xml:space="preserve">1) усеченный коэффициент </w:t>
      </w:r>
      <w:proofErr w:type="spellStart"/>
      <w:r w:rsidRPr="00D82EE9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D82EE9">
        <w:rPr>
          <w:rFonts w:ascii="Times New Roman" w:hAnsi="Times New Roman" w:cs="Times New Roman"/>
          <w:sz w:val="24"/>
          <w:szCs w:val="24"/>
        </w:rPr>
        <w:t xml:space="preserve"> (без одного худшего результата); </w:t>
      </w:r>
    </w:p>
    <w:p w:rsidR="00D82EE9" w:rsidRPr="00D82EE9" w:rsidRDefault="00D82EE9" w:rsidP="00D82EE9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 xml:space="preserve">2) коэффициент </w:t>
      </w:r>
      <w:proofErr w:type="spellStart"/>
      <w:r w:rsidRPr="00D82EE9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D82EE9">
        <w:rPr>
          <w:rFonts w:ascii="Times New Roman" w:hAnsi="Times New Roman" w:cs="Times New Roman"/>
          <w:sz w:val="24"/>
          <w:szCs w:val="24"/>
        </w:rPr>
        <w:t>.</w:t>
      </w:r>
    </w:p>
    <w:p w:rsidR="00D82EE9" w:rsidRPr="00D82EE9" w:rsidRDefault="00D82EE9" w:rsidP="00D82E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E9">
        <w:rPr>
          <w:rFonts w:ascii="Times New Roman" w:hAnsi="Times New Roman" w:cs="Times New Roman"/>
          <w:sz w:val="24"/>
          <w:szCs w:val="24"/>
        </w:rPr>
        <w:t>Соревнования проводятся по правилам быстрых шахмат. Система соревнований определяется ГСК в зависимости от количества участников. Победители определяются по лучшему результату раздельно среди мужчин и женщин.</w:t>
      </w:r>
    </w:p>
    <w:p w:rsidR="00D82EE9" w:rsidRPr="00D82EE9" w:rsidRDefault="00D82EE9" w:rsidP="00D82E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D82EE9" w:rsidRDefault="00094643" w:rsidP="00D82E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>Плавание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Соревнования  личные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. Принимают участие 1 мужчина, 1 женщина. Дистанция </w:t>
      </w:r>
      <w:smartTag w:uri="urn:schemas-microsoft-com:office:smarttags" w:element="metricconverter">
        <w:smartTagPr>
          <w:attr w:name="ProductID" w:val="50 м"/>
        </w:smartTagPr>
        <w:r w:rsidRPr="00094643">
          <w:rPr>
            <w:rFonts w:ascii="Times New Roman" w:eastAsia="Calibri" w:hAnsi="Times New Roman" w:cs="Times New Roman"/>
            <w:sz w:val="24"/>
            <w:szCs w:val="24"/>
          </w:rPr>
          <w:t xml:space="preserve">50 </w:t>
        </w:r>
        <w:proofErr w:type="gramStart"/>
        <w:r w:rsidRPr="00094643">
          <w:rPr>
            <w:rFonts w:ascii="Times New Roman" w:eastAsia="Calibri" w:hAnsi="Times New Roman" w:cs="Times New Roman"/>
            <w:sz w:val="24"/>
            <w:szCs w:val="24"/>
          </w:rPr>
          <w:t>м</w:t>
        </w:r>
      </w:smartTag>
      <w:r w:rsidRPr="00094643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>вольный стиль). Победитель определяется по лучшему результату среди мужчин и женщин.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D82EE9" w:rsidRDefault="00094643" w:rsidP="00D82E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EE9">
        <w:rPr>
          <w:rFonts w:ascii="Times New Roman" w:eastAsia="Calibri" w:hAnsi="Times New Roman" w:cs="Times New Roman"/>
          <w:b/>
          <w:i/>
          <w:sz w:val="24"/>
          <w:szCs w:val="24"/>
        </w:rPr>
        <w:t>Настольный теннис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Принимают участие 1 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мужчина  и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1 женщина. </w:t>
      </w:r>
    </w:p>
    <w:p w:rsidR="00963890" w:rsidRPr="00D82EE9" w:rsidRDefault="00094643" w:rsidP="009638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63890" w:rsidRPr="00D82EE9">
        <w:rPr>
          <w:rFonts w:ascii="Times New Roman" w:hAnsi="Times New Roman" w:cs="Times New Roman"/>
          <w:sz w:val="24"/>
          <w:szCs w:val="24"/>
        </w:rPr>
        <w:t xml:space="preserve">Соревнования личные. В соревнованиях принимают участие 2 человека от команды (1 мужчина и 1 женщина).       Система проведения соревнований определяется </w:t>
      </w:r>
      <w:r w:rsidR="00963890" w:rsidRPr="00D82EE9">
        <w:rPr>
          <w:rFonts w:ascii="Times New Roman" w:hAnsi="Times New Roman" w:cs="Times New Roman"/>
          <w:sz w:val="24"/>
          <w:szCs w:val="24"/>
        </w:rPr>
        <w:lastRenderedPageBreak/>
        <w:t xml:space="preserve">ГСК. </w:t>
      </w:r>
      <w:proofErr w:type="gramStart"/>
      <w:r w:rsidR="00963890" w:rsidRPr="00D82EE9">
        <w:rPr>
          <w:rFonts w:ascii="Times New Roman" w:hAnsi="Times New Roman" w:cs="Times New Roman"/>
          <w:sz w:val="24"/>
          <w:szCs w:val="24"/>
        </w:rPr>
        <w:t xml:space="preserve">Ракетки </w:t>
      </w:r>
      <w:r w:rsidR="0039373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93737">
        <w:rPr>
          <w:rFonts w:ascii="Times New Roman" w:hAnsi="Times New Roman" w:cs="Times New Roman"/>
          <w:sz w:val="24"/>
          <w:szCs w:val="24"/>
        </w:rPr>
        <w:t xml:space="preserve"> шарики</w:t>
      </w:r>
      <w:r w:rsidR="00963890" w:rsidRPr="00D82EE9">
        <w:rPr>
          <w:rFonts w:ascii="Times New Roman" w:hAnsi="Times New Roman" w:cs="Times New Roman"/>
          <w:sz w:val="24"/>
          <w:szCs w:val="24"/>
        </w:rPr>
        <w:t xml:space="preserve"> должны иметь личные. Победители определяются по лучшему результату участников раздельно среди мужчин и женщин.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D82EE9">
      <w:pPr>
        <w:numPr>
          <w:ilvl w:val="0"/>
          <w:numId w:val="4"/>
        </w:num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Условия подведения итогов</w:t>
      </w:r>
    </w:p>
    <w:p w:rsidR="00094643" w:rsidRPr="00094643" w:rsidRDefault="00094643" w:rsidP="00094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В соревновании районной Спартакиады разыгрываются:</w:t>
      </w:r>
    </w:p>
    <w:p w:rsidR="00094643" w:rsidRPr="00094643" w:rsidRDefault="00094643" w:rsidP="00094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- личное первенство</w:t>
      </w:r>
    </w:p>
    <w:p w:rsidR="00094643" w:rsidRPr="00094643" w:rsidRDefault="00094643" w:rsidP="00094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- общекомандное первенство</w:t>
      </w:r>
    </w:p>
    <w:p w:rsidR="00094643" w:rsidRPr="00094643" w:rsidRDefault="00094643" w:rsidP="00094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Личные и командные места по видам программы определяются согласно правилам соревнований по виду спорта и регламенту соревнований. Общекомандное первенство среди 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команд  определяются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по наименьшей сумме мест, занятых в видах программы. За неучастие в виде программы Спартакиады команде 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присваивается  последнее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место в данном виде.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D82EE9">
      <w:pPr>
        <w:numPr>
          <w:ilvl w:val="0"/>
          <w:numId w:val="4"/>
        </w:num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Победители награждаются 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дипломами  и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памятными призами. 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D82EE9">
      <w:pPr>
        <w:numPr>
          <w:ilvl w:val="0"/>
          <w:numId w:val="4"/>
        </w:num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i/>
          <w:sz w:val="24"/>
          <w:szCs w:val="24"/>
        </w:rPr>
        <w:t>Подача заявок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Предварительные заявки по форме представить  до </w:t>
      </w:r>
      <w:r w:rsidR="00B3238D" w:rsidRPr="00D82EE9">
        <w:rPr>
          <w:rFonts w:ascii="Times New Roman" w:eastAsia="Calibri" w:hAnsi="Times New Roman" w:cs="Times New Roman"/>
          <w:sz w:val="24"/>
          <w:szCs w:val="24"/>
        </w:rPr>
        <w:t>10 февраля.</w:t>
      </w:r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по  эл. адресу   </w:t>
      </w:r>
      <w:hyperlink r:id="rId5" w:history="1"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rakova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roza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2E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, с подписью врача представить в день проведения при регистрации.    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643">
        <w:rPr>
          <w:rFonts w:ascii="Times New Roman" w:eastAsia="Calibri" w:hAnsi="Times New Roman" w:cs="Times New Roman"/>
          <w:b/>
          <w:sz w:val="24"/>
          <w:szCs w:val="24"/>
        </w:rPr>
        <w:t>ИМЕННАЯ ЗАЯВКА</w:t>
      </w: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на участие в районной Спартакиаде пенсионеров</w:t>
      </w:r>
    </w:p>
    <w:p w:rsidR="00094643" w:rsidRPr="00094643" w:rsidRDefault="00094643" w:rsidP="00094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От команды    ____________</w:t>
      </w:r>
      <w:r w:rsidR="00B3238D" w:rsidRPr="00D82EE9">
        <w:rPr>
          <w:rFonts w:ascii="Times New Roman" w:eastAsia="Calibri" w:hAnsi="Times New Roman" w:cs="Times New Roman"/>
          <w:sz w:val="24"/>
          <w:szCs w:val="24"/>
        </w:rPr>
        <w:t>____________________________т/о</w:t>
      </w:r>
    </w:p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820"/>
        <w:gridCol w:w="1540"/>
        <w:gridCol w:w="1550"/>
        <w:gridCol w:w="1634"/>
      </w:tblGrid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 полностью</w:t>
            </w: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врача</w:t>
            </w:r>
          </w:p>
        </w:tc>
      </w:tr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 </w:t>
            </w:r>
            <w:proofErr w:type="spellStart"/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 </w:t>
            </w:r>
            <w:proofErr w:type="spellStart"/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643" w:rsidRPr="00094643" w:rsidTr="0049243E">
        <w:tc>
          <w:tcPr>
            <w:tcW w:w="817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643" w:rsidRPr="00094643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E9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66" w:type="dxa"/>
          </w:tcPr>
          <w:p w:rsidR="00094643" w:rsidRPr="00094643" w:rsidRDefault="00094643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38D" w:rsidRPr="00D82EE9" w:rsidTr="0049243E">
        <w:tc>
          <w:tcPr>
            <w:tcW w:w="817" w:type="dxa"/>
          </w:tcPr>
          <w:p w:rsidR="00B3238D" w:rsidRPr="00D82EE9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238D" w:rsidRPr="00D82EE9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38D" w:rsidRPr="00D82EE9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238D" w:rsidRPr="00D82EE9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E9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66" w:type="dxa"/>
          </w:tcPr>
          <w:p w:rsidR="00B3238D" w:rsidRPr="00D82EE9" w:rsidRDefault="00B3238D" w:rsidP="00094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4643" w:rsidRPr="00094643" w:rsidRDefault="00094643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43">
        <w:rPr>
          <w:rFonts w:ascii="Times New Roman" w:eastAsia="Calibri" w:hAnsi="Times New Roman" w:cs="Times New Roman"/>
          <w:sz w:val="24"/>
          <w:szCs w:val="24"/>
        </w:rPr>
        <w:t>Допущено________________</w:t>
      </w:r>
      <w:proofErr w:type="gramStart"/>
      <w:r w:rsidRPr="00094643">
        <w:rPr>
          <w:rFonts w:ascii="Times New Roman" w:eastAsia="Calibri" w:hAnsi="Times New Roman" w:cs="Times New Roman"/>
          <w:sz w:val="24"/>
          <w:szCs w:val="24"/>
        </w:rPr>
        <w:t>_  чел.</w:t>
      </w:r>
      <w:proofErr w:type="gramEnd"/>
      <w:r w:rsidRPr="00094643">
        <w:rPr>
          <w:rFonts w:ascii="Times New Roman" w:eastAsia="Calibri" w:hAnsi="Times New Roman" w:cs="Times New Roman"/>
          <w:sz w:val="24"/>
          <w:szCs w:val="24"/>
        </w:rPr>
        <w:t xml:space="preserve">                  Подпись врача</w:t>
      </w:r>
    </w:p>
    <w:p w:rsidR="00094643" w:rsidRPr="00094643" w:rsidRDefault="00094643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43" w:rsidRPr="00094643" w:rsidRDefault="00B3238D" w:rsidP="000946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sz w:val="24"/>
          <w:szCs w:val="24"/>
        </w:rPr>
        <w:t>Начальник территориального отделения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4643" w:rsidRPr="00094643" w:rsidRDefault="00B3238D" w:rsidP="00094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EE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94643" w:rsidRPr="00094643">
        <w:rPr>
          <w:rFonts w:ascii="Times New Roman" w:eastAsia="Calibri" w:hAnsi="Times New Roman" w:cs="Times New Roman"/>
          <w:sz w:val="24"/>
          <w:szCs w:val="24"/>
        </w:rPr>
        <w:t>Председатель   местного отделения СПР:</w:t>
      </w:r>
    </w:p>
    <w:p w:rsidR="00094643" w:rsidRPr="00094643" w:rsidRDefault="00094643" w:rsidP="000946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CCA" w:rsidRPr="00D82EE9" w:rsidRDefault="00524CCA">
      <w:pPr>
        <w:rPr>
          <w:rFonts w:ascii="Times New Roman" w:hAnsi="Times New Roman" w:cs="Times New Roman"/>
          <w:sz w:val="24"/>
          <w:szCs w:val="24"/>
        </w:rPr>
      </w:pPr>
    </w:p>
    <w:sectPr w:rsidR="00524CCA" w:rsidRPr="00D8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51D"/>
    <w:multiLevelType w:val="hybridMultilevel"/>
    <w:tmpl w:val="DAD49C94"/>
    <w:lvl w:ilvl="0" w:tplc="AD6808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4F2456"/>
    <w:multiLevelType w:val="hybridMultilevel"/>
    <w:tmpl w:val="CF50B9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2EBD"/>
    <w:multiLevelType w:val="hybridMultilevel"/>
    <w:tmpl w:val="5B207198"/>
    <w:lvl w:ilvl="0" w:tplc="1A6C26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F70F01"/>
    <w:multiLevelType w:val="hybridMultilevel"/>
    <w:tmpl w:val="019A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0880"/>
    <w:multiLevelType w:val="hybridMultilevel"/>
    <w:tmpl w:val="E61A2714"/>
    <w:lvl w:ilvl="0" w:tplc="15E0A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43"/>
    <w:rsid w:val="00094643"/>
    <w:rsid w:val="00393737"/>
    <w:rsid w:val="00524CCA"/>
    <w:rsid w:val="00626661"/>
    <w:rsid w:val="0077630F"/>
    <w:rsid w:val="00963890"/>
    <w:rsid w:val="00B3238D"/>
    <w:rsid w:val="00D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E0C50"/>
  <w15:chartTrackingRefBased/>
  <w15:docId w15:val="{6DE9B566-A341-4938-9C4B-425449C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ova.roz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2023-01-23T16:54:00Z</cp:lastPrinted>
  <dcterms:created xsi:type="dcterms:W3CDTF">2023-01-23T11:45:00Z</dcterms:created>
  <dcterms:modified xsi:type="dcterms:W3CDTF">2023-01-23T16:54:00Z</dcterms:modified>
</cp:coreProperties>
</file>