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A167" w14:textId="77777777" w:rsidR="005A54D3" w:rsidRPr="00EE74CE" w:rsidRDefault="005A54D3" w:rsidP="003D0103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E74CE">
        <w:rPr>
          <w:rFonts w:ascii="Times New Roman" w:hAnsi="Times New Roman" w:cs="Times New Roman"/>
          <w:bCs/>
          <w:sz w:val="26"/>
          <w:szCs w:val="26"/>
          <w:lang w:val="ru-RU"/>
        </w:rPr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ЧУВАШСКОЙ РЕСПУБЛИКИ</w:t>
      </w:r>
    </w:p>
    <w:p w14:paraId="55F2C13C" w14:textId="77777777" w:rsidR="00FB3C6C" w:rsidRPr="00EE74CE" w:rsidRDefault="00FB3C6C" w:rsidP="00FB3C6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CEC0C50" w14:textId="77777777" w:rsidR="002617D1" w:rsidRPr="00591B5C" w:rsidRDefault="002617D1" w:rsidP="00591B5C">
      <w:pPr>
        <w:tabs>
          <w:tab w:val="left" w:pos="9921"/>
        </w:tabs>
        <w:spacing w:after="160" w:line="360" w:lineRule="auto"/>
        <w:ind w:right="-2"/>
        <w:rPr>
          <w:rFonts w:ascii="Times New Roman" w:hAnsi="Times New Roman" w:cs="Times New Roman"/>
          <w:b/>
          <w:bCs/>
          <w:color w:val="000000" w:themeColor="text1"/>
          <w:spacing w:val="30"/>
          <w:sz w:val="26"/>
          <w:szCs w:val="26"/>
          <w:u w:val="single"/>
          <w:lang w:val="ru-RU"/>
        </w:rPr>
      </w:pPr>
    </w:p>
    <w:p w14:paraId="66A13A05" w14:textId="77777777" w:rsidR="002617D1" w:rsidRPr="00591B5C" w:rsidRDefault="002617D1" w:rsidP="00591B5C">
      <w:pPr>
        <w:tabs>
          <w:tab w:val="left" w:pos="9921"/>
        </w:tabs>
        <w:spacing w:after="160" w:line="360" w:lineRule="auto"/>
        <w:ind w:right="-2"/>
        <w:rPr>
          <w:rFonts w:ascii="Times New Roman" w:hAnsi="Times New Roman" w:cs="Times New Roman"/>
          <w:b/>
          <w:bCs/>
          <w:color w:val="000000" w:themeColor="text1"/>
          <w:spacing w:val="30"/>
          <w:sz w:val="26"/>
          <w:szCs w:val="26"/>
          <w:u w:val="single"/>
          <w:lang w:val="ru-RU"/>
        </w:rPr>
      </w:pPr>
    </w:p>
    <w:p w14:paraId="523BAD4E" w14:textId="77777777" w:rsidR="002617D1" w:rsidRPr="00591B5C" w:rsidRDefault="002617D1" w:rsidP="00591B5C">
      <w:pPr>
        <w:tabs>
          <w:tab w:val="left" w:pos="9921"/>
        </w:tabs>
        <w:spacing w:after="160" w:line="360" w:lineRule="auto"/>
        <w:ind w:right="-2"/>
        <w:rPr>
          <w:rFonts w:ascii="Times New Roman" w:hAnsi="Times New Roman" w:cs="Times New Roman"/>
          <w:b/>
          <w:bCs/>
          <w:color w:val="000000" w:themeColor="text1"/>
          <w:spacing w:val="30"/>
          <w:sz w:val="26"/>
          <w:szCs w:val="26"/>
          <w:u w:val="single"/>
          <w:lang w:val="ru-RU"/>
        </w:rPr>
      </w:pPr>
    </w:p>
    <w:p w14:paraId="56745ADB" w14:textId="77777777" w:rsidR="002617D1" w:rsidRPr="00591B5C" w:rsidRDefault="002617D1" w:rsidP="00591B5C">
      <w:pPr>
        <w:tabs>
          <w:tab w:val="left" w:pos="9921"/>
        </w:tabs>
        <w:spacing w:after="160" w:line="360" w:lineRule="auto"/>
        <w:ind w:right="-2"/>
        <w:rPr>
          <w:rFonts w:ascii="Times New Roman" w:hAnsi="Times New Roman" w:cs="Times New Roman"/>
          <w:b/>
          <w:bCs/>
          <w:color w:val="000000" w:themeColor="text1"/>
          <w:spacing w:val="30"/>
          <w:sz w:val="26"/>
          <w:szCs w:val="26"/>
          <w:u w:val="single"/>
          <w:lang w:val="ru-RU"/>
        </w:rPr>
      </w:pPr>
    </w:p>
    <w:p w14:paraId="48CE7560" w14:textId="77777777" w:rsidR="00887BCD" w:rsidRPr="00591B5C" w:rsidRDefault="00887BCD" w:rsidP="00591B5C">
      <w:pPr>
        <w:tabs>
          <w:tab w:val="left" w:pos="9921"/>
        </w:tabs>
        <w:spacing w:after="160" w:line="360" w:lineRule="auto"/>
        <w:ind w:right="-2"/>
        <w:rPr>
          <w:rFonts w:ascii="Times New Roman" w:hAnsi="Times New Roman" w:cs="Times New Roman"/>
          <w:b/>
          <w:bCs/>
          <w:color w:val="000000" w:themeColor="text1"/>
          <w:spacing w:val="30"/>
          <w:sz w:val="26"/>
          <w:szCs w:val="26"/>
          <w:u w:val="single"/>
          <w:lang w:val="ru-RU"/>
        </w:rPr>
      </w:pPr>
    </w:p>
    <w:p w14:paraId="3379BA58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5FEE8CF8" w14:textId="77777777" w:rsidR="00887BCD" w:rsidRPr="00591B5C" w:rsidRDefault="00887BCD" w:rsidP="00591B5C">
      <w:pPr>
        <w:tabs>
          <w:tab w:val="left" w:pos="9921"/>
        </w:tabs>
        <w:spacing w:after="160" w:line="36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591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РАЗДЕЛ 1</w:t>
      </w:r>
      <w:r w:rsidR="00591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2</w:t>
      </w:r>
    </w:p>
    <w:p w14:paraId="5DA2FF7A" w14:textId="77777777" w:rsidR="00887BCD" w:rsidRPr="00591B5C" w:rsidRDefault="00887BCD" w:rsidP="00591B5C">
      <w:pPr>
        <w:tabs>
          <w:tab w:val="left" w:pos="9921"/>
        </w:tabs>
        <w:spacing w:after="160" w:line="36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</w:p>
    <w:p w14:paraId="512FCF0D" w14:textId="77777777" w:rsidR="00887BCD" w:rsidRPr="00591B5C" w:rsidRDefault="00887BCD" w:rsidP="00591B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«</w:t>
      </w:r>
      <w:r w:rsidRPr="00591B5C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 w:eastAsia="ru-RU" w:bidi="ar-SA"/>
        </w:rPr>
        <w:t>Перспективы развития инфраструктуры системы обращения с отходами</w:t>
      </w:r>
      <w:r w:rsidRPr="00591B5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»</w:t>
      </w:r>
    </w:p>
    <w:p w14:paraId="3226F67F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1BCB38A3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5E48782A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1D36D0E1" w14:textId="77777777" w:rsidR="002F7FD1" w:rsidRPr="00591B5C" w:rsidRDefault="002F7FD1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5AF8179C" w14:textId="77777777" w:rsidR="002F7FD1" w:rsidRPr="00591B5C" w:rsidRDefault="002F7FD1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7AAEADA2" w14:textId="77777777" w:rsidR="002F7FD1" w:rsidRPr="00591B5C" w:rsidRDefault="002F7FD1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1A482A9F" w14:textId="77777777" w:rsidR="002F7FD1" w:rsidRPr="00591B5C" w:rsidRDefault="002F7FD1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5D97D885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255A6074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1732F877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1972BB29" w14:textId="77777777" w:rsidR="00887BCD" w:rsidRPr="00591B5C" w:rsidRDefault="00887BCD" w:rsidP="00591B5C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red"/>
          <w:lang w:val="ru-RU"/>
        </w:rPr>
      </w:pPr>
    </w:p>
    <w:p w14:paraId="6182C3C6" w14:textId="77777777" w:rsidR="00887BCD" w:rsidRPr="00591B5C" w:rsidRDefault="009F4E2F" w:rsidP="00591B5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Чувашская Республика</w:t>
      </w:r>
      <w:r w:rsidR="00887BCD" w:rsidRPr="00591B5C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, 20</w:t>
      </w:r>
      <w:r w:rsidR="002F7FD1" w:rsidRPr="00591B5C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2</w:t>
      </w:r>
      <w:r w:rsidR="00A01019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2</w:t>
      </w:r>
      <w:r w:rsidR="00887BCD" w:rsidRPr="00591B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  <w:br w:type="page"/>
      </w:r>
    </w:p>
    <w:sdt>
      <w:sdtPr>
        <w:rPr>
          <w:rFonts w:asciiTheme="majorHAnsi" w:hAnsiTheme="majorHAnsi" w:cstheme="majorBidi"/>
          <w:b w:val="0"/>
          <w:color w:val="000000" w:themeColor="text1"/>
          <w:sz w:val="26"/>
          <w:szCs w:val="26"/>
          <w:lang w:val="en-US" w:eastAsia="en-US" w:bidi="en-US"/>
        </w:rPr>
        <w:id w:val="1761950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09D5F63" w14:textId="77777777" w:rsidR="00887BCD" w:rsidRPr="00591B5C" w:rsidRDefault="00887BCD" w:rsidP="00591B5C">
          <w:pPr>
            <w:pStyle w:val="af3"/>
            <w:spacing w:line="360" w:lineRule="auto"/>
            <w:ind w:firstLine="0"/>
            <w:jc w:val="center"/>
            <w:rPr>
              <w:color w:val="000000" w:themeColor="text1"/>
              <w:sz w:val="26"/>
              <w:szCs w:val="26"/>
            </w:rPr>
          </w:pPr>
          <w:r w:rsidRPr="00591B5C">
            <w:rPr>
              <w:color w:val="000000" w:themeColor="text1"/>
              <w:sz w:val="26"/>
              <w:szCs w:val="26"/>
            </w:rPr>
            <w:t>СОДЕРЖАНИЕ</w:t>
          </w:r>
        </w:p>
        <w:p w14:paraId="60615EB6" w14:textId="77777777" w:rsidR="00887BCD" w:rsidRPr="00591B5C" w:rsidRDefault="007C2E80" w:rsidP="00591B5C">
          <w:pPr>
            <w:pStyle w:val="11"/>
            <w:tabs>
              <w:tab w:val="left" w:pos="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6"/>
              <w:szCs w:val="26"/>
            </w:rPr>
          </w:pPr>
          <w:r w:rsidRPr="00591B5C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fldChar w:fldCharType="begin"/>
          </w:r>
          <w:r w:rsidR="00887BCD" w:rsidRPr="00591B5C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instrText xml:space="preserve"> TOC \o "1-3" \h \z \u </w:instrText>
          </w:r>
          <w:r w:rsidRPr="00591B5C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fldChar w:fldCharType="separate"/>
          </w:r>
          <w:hyperlink w:anchor="_Toc8756315" w:history="1"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1</w:t>
            </w:r>
            <w:r w:rsidR="00641ECA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>2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.1. Общие вопросы реформы отрасли обращения с твердыми коммунальными отходами в России.</w:t>
            </w:r>
            <w:r w:rsidR="00887BCD"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tab/>
            </w:r>
            <w:r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fldChar w:fldCharType="begin"/>
            </w:r>
            <w:r w:rsidR="00887BCD"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instrText xml:space="preserve"> PAGEREF _Toc8756315 \h </w:instrText>
            </w:r>
            <w:r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</w:r>
            <w:r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fldChar w:fldCharType="separate"/>
            </w:r>
            <w:r w:rsidR="002A2B69"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t>3</w:t>
            </w:r>
            <w:r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fldChar w:fldCharType="end"/>
            </w:r>
          </w:hyperlink>
        </w:p>
        <w:p w14:paraId="127B4ECD" w14:textId="77777777" w:rsidR="00887BCD" w:rsidRPr="00591B5C" w:rsidRDefault="00B45158" w:rsidP="00591B5C">
          <w:pPr>
            <w:pStyle w:val="11"/>
            <w:tabs>
              <w:tab w:val="left" w:pos="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6"/>
              <w:szCs w:val="26"/>
            </w:rPr>
          </w:pPr>
          <w:hyperlink w:anchor="_Toc8756316" w:history="1"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1</w:t>
            </w:r>
            <w:r w:rsidR="00641ECA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>2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.2 Создание оптимальной перспективной территориальной системы обращения с отходами, на территории </w:t>
            </w:r>
            <w:r w:rsidR="002A2B69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 xml:space="preserve">Чувашской 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Республики .</w:t>
            </w:r>
            <w:r w:rsidR="00887BCD" w:rsidRPr="00591B5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</w:rPr>
              <w:tab/>
            </w:r>
            <w:r w:rsidR="0018317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6"/>
                <w:szCs w:val="26"/>
                <w:lang w:val="ru-RU"/>
              </w:rPr>
              <w:t>6</w:t>
            </w:r>
          </w:hyperlink>
        </w:p>
        <w:p w14:paraId="1F8ACA6B" w14:textId="77777777" w:rsidR="00887BCD" w:rsidRPr="00591B5C" w:rsidRDefault="00B45158" w:rsidP="00591B5C">
          <w:pPr>
            <w:pStyle w:val="23"/>
            <w:rPr>
              <w:noProof/>
            </w:rPr>
          </w:pPr>
          <w:hyperlink w:anchor="_Toc8756317" w:history="1"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1</w:t>
            </w:r>
            <w:r w:rsidR="00641ECA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>2.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2.1.</w:t>
            </w:r>
            <w:r w:rsidR="00887BCD" w:rsidRPr="00591B5C">
              <w:rPr>
                <w:noProof/>
              </w:rPr>
              <w:tab/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Оптимизация подбора направлений по строительству предприятий по утилизации и обезвреживанию</w:t>
            </w:r>
            <w:r w:rsidR="00887BCD" w:rsidRPr="00591B5C">
              <w:rPr>
                <w:noProof/>
                <w:webHidden/>
              </w:rPr>
              <w:tab/>
            </w:r>
            <w:r w:rsidR="0018317A">
              <w:rPr>
                <w:noProof/>
                <w:webHidden/>
                <w:sz w:val="26"/>
                <w:szCs w:val="26"/>
                <w:lang w:val="ru-RU"/>
              </w:rPr>
              <w:t>6</w:t>
            </w:r>
          </w:hyperlink>
        </w:p>
        <w:p w14:paraId="2A842A56" w14:textId="77777777" w:rsidR="00887BCD" w:rsidRPr="00591B5C" w:rsidRDefault="00B45158" w:rsidP="00591B5C">
          <w:pPr>
            <w:pStyle w:val="23"/>
            <w:rPr>
              <w:noProof/>
            </w:rPr>
          </w:pPr>
          <w:hyperlink w:anchor="_Toc8756318" w:history="1"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1</w:t>
            </w:r>
            <w:r w:rsidR="00641ECA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>2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.2.2.</w:t>
            </w:r>
            <w:r w:rsidR="00887BCD" w:rsidRPr="00591B5C">
              <w:rPr>
                <w:noProof/>
              </w:rPr>
              <w:tab/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Оптимизация системы сбора ТКО в </w:t>
            </w:r>
            <w:r w:rsidR="002A2B69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ru-RU"/>
              </w:rPr>
              <w:t xml:space="preserve">Чувашской </w:t>
            </w:r>
            <w:r w:rsidR="002A2B69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Республике</w:t>
            </w:r>
            <w:r w:rsidR="00887BCD" w:rsidRPr="00591B5C">
              <w:rPr>
                <w:rStyle w:val="af5"/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, внедрение системы раздельного сбора ТКО.</w:t>
            </w:r>
            <w:r w:rsidR="00887BCD" w:rsidRPr="00591B5C">
              <w:rPr>
                <w:noProof/>
                <w:webHidden/>
              </w:rPr>
              <w:tab/>
            </w:r>
            <w:r w:rsidR="007C2E80" w:rsidRPr="00591B5C">
              <w:rPr>
                <w:noProof/>
                <w:webHidden/>
                <w:sz w:val="26"/>
                <w:szCs w:val="26"/>
              </w:rPr>
              <w:fldChar w:fldCharType="begin"/>
            </w:r>
            <w:r w:rsidR="00887BCD" w:rsidRPr="00591B5C">
              <w:rPr>
                <w:noProof/>
                <w:webHidden/>
                <w:sz w:val="26"/>
                <w:szCs w:val="26"/>
              </w:rPr>
              <w:instrText xml:space="preserve"> PAGEREF _Toc8756318 \h </w:instrText>
            </w:r>
            <w:r w:rsidR="007C2E80" w:rsidRPr="00591B5C">
              <w:rPr>
                <w:noProof/>
                <w:webHidden/>
                <w:sz w:val="26"/>
                <w:szCs w:val="26"/>
              </w:rPr>
            </w:r>
            <w:r w:rsidR="007C2E80" w:rsidRPr="00591B5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A2B69" w:rsidRPr="00591B5C">
              <w:rPr>
                <w:noProof/>
                <w:webHidden/>
                <w:sz w:val="26"/>
                <w:szCs w:val="26"/>
              </w:rPr>
              <w:t>10</w:t>
            </w:r>
            <w:r w:rsidR="007C2E80" w:rsidRPr="00591B5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B58F950" w14:textId="77777777" w:rsidR="00887BCD" w:rsidRPr="00591B5C" w:rsidRDefault="007C2E80" w:rsidP="00591B5C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</w:pPr>
          <w:r w:rsidRPr="00591B5C">
            <w:rPr>
              <w:rFonts w:ascii="Times New Roman" w:hAnsi="Times New Roman" w:cs="Times New Roman"/>
              <w:b/>
              <w:bCs/>
              <w:color w:val="000000" w:themeColor="text1"/>
              <w:sz w:val="26"/>
              <w:szCs w:val="26"/>
            </w:rPr>
            <w:fldChar w:fldCharType="end"/>
          </w:r>
        </w:p>
      </w:sdtContent>
    </w:sdt>
    <w:p w14:paraId="0F614443" w14:textId="77777777" w:rsidR="00887BCD" w:rsidRPr="00591B5C" w:rsidRDefault="00887BCD" w:rsidP="00591B5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 w:eastAsia="ru-RU" w:bidi="ar-SA"/>
        </w:rPr>
        <w:br w:type="page"/>
      </w:r>
    </w:p>
    <w:p w14:paraId="21847BC9" w14:textId="77777777" w:rsidR="00C401B8" w:rsidRPr="00591B5C" w:rsidRDefault="000F48D0" w:rsidP="00591B5C">
      <w:pPr>
        <w:pStyle w:val="1"/>
        <w:spacing w:line="360" w:lineRule="auto"/>
        <w:jc w:val="center"/>
        <w:rPr>
          <w:color w:val="000000" w:themeColor="text1"/>
          <w:sz w:val="26"/>
          <w:szCs w:val="26"/>
        </w:rPr>
      </w:pPr>
      <w:bookmarkStart w:id="0" w:name="_Toc8756315"/>
      <w:r w:rsidRPr="00591B5C">
        <w:rPr>
          <w:color w:val="000000" w:themeColor="text1"/>
          <w:sz w:val="26"/>
          <w:szCs w:val="26"/>
        </w:rPr>
        <w:lastRenderedPageBreak/>
        <w:t>1</w:t>
      </w:r>
      <w:r w:rsidR="00641ECA">
        <w:rPr>
          <w:color w:val="000000" w:themeColor="text1"/>
          <w:sz w:val="26"/>
          <w:szCs w:val="26"/>
        </w:rPr>
        <w:t>2</w:t>
      </w:r>
      <w:r w:rsidRPr="00591B5C">
        <w:rPr>
          <w:color w:val="000000" w:themeColor="text1"/>
          <w:sz w:val="26"/>
          <w:szCs w:val="26"/>
        </w:rPr>
        <w:t xml:space="preserve">.1. </w:t>
      </w:r>
      <w:r w:rsidR="00C401B8" w:rsidRPr="00591B5C">
        <w:rPr>
          <w:color w:val="000000" w:themeColor="text1"/>
          <w:sz w:val="26"/>
          <w:szCs w:val="26"/>
        </w:rPr>
        <w:t>Общие вопросы реформы отрасли обращения с твердыми коммунальными отходами в России.</w:t>
      </w:r>
      <w:bookmarkEnd w:id="0"/>
    </w:p>
    <w:p w14:paraId="728D7F65" w14:textId="77777777" w:rsidR="00C401B8" w:rsidRPr="00591B5C" w:rsidRDefault="00C401B8" w:rsidP="00ED3DA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 2017 по 2019 годы в субъектах Российской Федерации началось внедрение новой системы обращения с отходами. Преобразования осуществляться согласно этапам, зафиксированным в ФЗ №</w:t>
      </w:r>
      <w:r w:rsid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89 «Об отходах производства и потребления».</w:t>
      </w:r>
    </w:p>
    <w:p w14:paraId="395D3A6E" w14:textId="77777777" w:rsidR="0052646F" w:rsidRPr="00591B5C" w:rsidRDefault="00C401B8" w:rsidP="00ED3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В </w:t>
      </w:r>
      <w:r w:rsidR="001B40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сновах государственной политики в области экологического развития РФ на период до 2030 года в части обращения с отходами предполагается раздельный сбор отходов, жёсткие санкции за ненадлежащую утилизацию, поэтапное введение запрета на захоронение отходов, пригодных к вторичной переработке. В ряде регионов разработаны стратегии обращения с отходами, предполагающие достижение целевых показателей уровня переработки и снижения воздействия на окружающую среду, а </w:t>
      </w:r>
      <w:proofErr w:type="gramStart"/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также  использование</w:t>
      </w:r>
      <w:proofErr w:type="gramEnd"/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наилучших доступных технологий. Затраты на реализацию программ варьируются в диапазоне 20—100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млн.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рублей. Финансирование отрасли предполагает исключительно внебюджетные источники.</w:t>
      </w:r>
    </w:p>
    <w:p w14:paraId="489767CD" w14:textId="77777777" w:rsidR="00C401B8" w:rsidRPr="00591B5C" w:rsidRDefault="00C401B8" w:rsidP="00ED3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Предпосылками начатой реформы явились:</w:t>
      </w:r>
    </w:p>
    <w:p w14:paraId="7375F524" w14:textId="77777777" w:rsidR="00C401B8" w:rsidRPr="00591B5C" w:rsidRDefault="00C401B8" w:rsidP="00ED3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Большое количество накопленных отходов: в настоящее время в России по данным статистики ежегодно город с населением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около 1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 человек размещает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на прилегающие территории до 400 тысяч тонн Т</w:t>
      </w:r>
      <w:r w:rsidR="008B1BE5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О, что соответствует удельному выходу отходов на одного жителя в нашей стране порядка 350—400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кг в год;</w:t>
      </w:r>
    </w:p>
    <w:p w14:paraId="0F4A65D6" w14:textId="77777777" w:rsidR="00C401B8" w:rsidRPr="00591B5C" w:rsidRDefault="00C401B8" w:rsidP="00ED3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Отсутствие инновационных методов борьбы с отходами: основные методы борьбы с отходами за последние года в России не изменились: захоронение, сжигание и частичная переработка. Цена потребных ресурсов для этой борьбы высока, но более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-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менее известна. Так, для захоронения на современном полигоне 5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млн. кубометров твёрдых 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коммунальных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отходов (Т</w:t>
      </w:r>
      <w:r w:rsidR="008B1BE5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О)</w:t>
      </w:r>
      <w:r w:rsidR="00F429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необходимо каждый год выводить из пользования 40 Га пригородных земель, что немало по любому счёту, и </w:t>
      </w:r>
      <w:proofErr w:type="gramStart"/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это</w:t>
      </w:r>
      <w:proofErr w:type="gramEnd"/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не считая все время увеличивающихся расстояний и затрат на перевозку отходов. Однако, традиционно, полигонное захоронение так и остаётся основным методом борьбы с отходами.</w:t>
      </w:r>
    </w:p>
    <w:p w14:paraId="34316AAE" w14:textId="77777777" w:rsidR="00C401B8" w:rsidRPr="00591B5C" w:rsidRDefault="00C401B8" w:rsidP="00ED3D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Отсутствие совершенной системы сбора и обработки отходов: система сбора и обработки в России практически не обновлялась в течение последних 40—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lastRenderedPageBreak/>
        <w:t>50 лет. В большинстве случаев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,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мусор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захо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ранивается на специальных полигонах. Сбор фильтратов и свалочных газов при этом не производится, что создаёт значительную экологическую опасность для окружающей территории.</w:t>
      </w:r>
    </w:p>
    <w:p w14:paraId="66D667EE" w14:textId="77777777" w:rsidR="00C401B8" w:rsidRPr="00591B5C" w:rsidRDefault="008B1BE5" w:rsidP="00ED3DA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Отсутствие достаточных мощностей по обезвреживанию отходов производства и потребления.</w:t>
      </w:r>
    </w:p>
    <w:p w14:paraId="4A5E03AE" w14:textId="77777777" w:rsidR="008B1BE5" w:rsidRPr="00591B5C" w:rsidRDefault="008B1BE5" w:rsidP="00ED3DA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Объём ежегодного образования ТКО составляет более 40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 тонн (~130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 м³). В расчёте на одного жителя страны приходится до 250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кг 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коммунальных отходов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 год, что сопоставимо со среднеевропейскими показателями.</w:t>
      </w:r>
    </w:p>
    <w:p w14:paraId="13C00B79" w14:textId="6A10F881" w:rsidR="008B1BE5" w:rsidRPr="00591B5C" w:rsidRDefault="008B1BE5" w:rsidP="00ED3DA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 учётом возможностей переработки образуемы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е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в России 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коммунальные отходы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име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ю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т следующую структуру: 35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вторичное сырье, 35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биоразлагаемые отходы, 30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— </w:t>
      </w:r>
      <w:r w:rsidR="00887BCD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не перерабатываемые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отходы. Потенциал переработки ТКО во вторичное сырье может быть оценён в 14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</w:t>
      </w:r>
      <w:r w:rsidR="00C73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тонн (45.5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 м³) в год, в то время как большая часть ТКО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около 93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(или 37.2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</w:t>
      </w:r>
      <w:r w:rsidR="00C73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тонн)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вывозится на свалки и полигоны. Главный недостаток данной стратегии заключается в том, что свалки являются серьёзным источником загрязнения почвы, грунтовых вод и атмосферы токсичными химикатами, высоко токсичными тяжёлыми металлами, свалочными газами, а при возгорании мусора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диоксинами, фуранами и бифeнилами. При этом предельно допустимые концентрации опасных веществ могут превышат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ь в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1000 и более раз. В последние годы значительно возросло движение за запрет организации свалок вблизи населённых пунктов.</w:t>
      </w:r>
    </w:p>
    <w:p w14:paraId="4984CB97" w14:textId="77777777" w:rsidR="008B1BE5" w:rsidRPr="00591B5C" w:rsidRDefault="008B1BE5" w:rsidP="00ED3DA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Общая система обращения с отходами сформирована пятью основными звеньями:</w:t>
      </w:r>
    </w:p>
    <w:p w14:paraId="06834743" w14:textId="77777777" w:rsidR="008B1BE5" w:rsidRPr="00591B5C" w:rsidRDefault="008B1BE5" w:rsidP="00591B5C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полигоны;</w:t>
      </w:r>
    </w:p>
    <w:p w14:paraId="75517BED" w14:textId="77777777" w:rsidR="008B1BE5" w:rsidRPr="00591B5C" w:rsidRDefault="008B1BE5" w:rsidP="00591B5C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компании-перевозчики (сбор и вывоз мусора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обычно несколько компаний в регионе);</w:t>
      </w:r>
    </w:p>
    <w:p w14:paraId="520C21D7" w14:textId="77777777" w:rsidR="008B1BE5" w:rsidRPr="00591B5C" w:rsidRDefault="008B1BE5" w:rsidP="00591B5C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комплексные мусороперерабатывающие заводы (сортировка, переработка, сжигание, захоронение не</w:t>
      </w:r>
      <w:r w:rsidR="00C73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перерабатываемых отходов);</w:t>
      </w:r>
    </w:p>
    <w:p w14:paraId="367B20EE" w14:textId="77777777" w:rsidR="008B1BE5" w:rsidRPr="00591B5C" w:rsidRDefault="008B1BE5" w:rsidP="00591B5C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мусоросжигательные заводы;</w:t>
      </w:r>
    </w:p>
    <w:p w14:paraId="2CAB0C8D" w14:textId="77777777" w:rsidR="008B1BE5" w:rsidRPr="00591B5C" w:rsidRDefault="008B1BE5" w:rsidP="00591B5C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специализированные предприятия.</w:t>
      </w:r>
    </w:p>
    <w:p w14:paraId="390D38A4" w14:textId="77777777" w:rsidR="008B1BE5" w:rsidRPr="00591B5C" w:rsidRDefault="008B1BE5" w:rsidP="00ED3DA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lastRenderedPageBreak/>
        <w:t xml:space="preserve">Рынок переработки твердых 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коммунальных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отходов в России практически не развит, о чём свидетельствует сложившаяся в стране крайне нерациональная система обращения с ТКО:</w:t>
      </w:r>
    </w:p>
    <w:p w14:paraId="4B42C6FE" w14:textId="77777777" w:rsidR="008B1BE5" w:rsidRPr="00591B5C" w:rsidRDefault="008B1BE5" w:rsidP="00591B5C">
      <w:pPr>
        <w:numPr>
          <w:ilvl w:val="0"/>
          <w:numId w:val="4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захоронение на полигонах/свалках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~90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92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ТКО (36—37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тонн в год);</w:t>
      </w:r>
    </w:p>
    <w:p w14:paraId="5BD8C8D3" w14:textId="77777777" w:rsidR="008B1BE5" w:rsidRPr="00591B5C" w:rsidRDefault="008B1BE5" w:rsidP="00591B5C">
      <w:pPr>
        <w:numPr>
          <w:ilvl w:val="0"/>
          <w:numId w:val="4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сжигание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не более 1,8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ТКО (~700 тыс. тонн в год);</w:t>
      </w:r>
    </w:p>
    <w:p w14:paraId="269D3C97" w14:textId="77777777" w:rsidR="008B1BE5" w:rsidRPr="00591B5C" w:rsidRDefault="008B1BE5" w:rsidP="00591B5C">
      <w:pPr>
        <w:numPr>
          <w:ilvl w:val="0"/>
          <w:numId w:val="4"/>
        </w:numPr>
        <w:shd w:val="clear" w:color="auto" w:fill="FFFFFF"/>
        <w:spacing w:after="0" w:line="360" w:lineRule="auto"/>
        <w:ind w:left="384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промышленная переработка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3—4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ТКО (1.2—1.6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млн</w:t>
      </w:r>
      <w:r w:rsidR="002F7FD1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тонн в год).</w:t>
      </w:r>
    </w:p>
    <w:p w14:paraId="792A42F2" w14:textId="77777777" w:rsidR="008B1BE5" w:rsidRPr="00591B5C" w:rsidRDefault="008B1BE5" w:rsidP="00ED3DA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По-прежнему</w:t>
      </w:r>
      <w:r w:rsidR="00306DE3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,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одной из основных тенденций в области переработки мусора остаётся рост общей площади полигонов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— под них ежегодно выделяются 7—10 тыс. га земель. Основной сложностью на пути к переработке ТКО является отсутствие в нашей стране системы раздельного сбора мусора, являющейся неизбежным условием для их глубокого рециклинга. Так, 60—80</w:t>
      </w:r>
      <w:r w:rsidR="00E219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морфологического состава ТКО представляет собой потенциальное сырье для использования в промышленности (35—45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%) или компостирования (25—35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%). Однако сортировка смешанных и перевезённых в одном мусоровозе ТКО позволяет извлечь лишь 11—15</w:t>
      </w:r>
      <w:r w:rsidR="002F5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% вторичных ресурсов. При этом практически невозможно использовать биоразлагаемые (органические) отходы.</w:t>
      </w:r>
    </w:p>
    <w:p w14:paraId="655732CD" w14:textId="77777777" w:rsidR="00C92F32" w:rsidRPr="00591B5C" w:rsidRDefault="00C92F32" w:rsidP="00ED3DA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 w:eastAsia="ru-RU" w:bidi="ar-SA"/>
        </w:rPr>
        <w:t>Проблемы отрасли:</w:t>
      </w:r>
    </w:p>
    <w:p w14:paraId="5D44CA19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низкое качество </w:t>
      </w:r>
      <w:r w:rsidR="00A010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коммунальных отходов </w:t>
      </w: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и неразвитость сортировочных программ;</w:t>
      </w:r>
    </w:p>
    <w:p w14:paraId="330A02F1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специфика сбора и обработки отходов;</w:t>
      </w:r>
    </w:p>
    <w:p w14:paraId="221F9392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сезонность поставок;</w:t>
      </w:r>
    </w:p>
    <w:p w14:paraId="306D0E79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ограниченные объёмы поставок вторичных ресурсов, требующих глубокой переработки;</w:t>
      </w:r>
    </w:p>
    <w:p w14:paraId="62D107E7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отсталое техническое оснащение потребителей вторичного сырья;</w:t>
      </w:r>
    </w:p>
    <w:p w14:paraId="082921DB" w14:textId="77777777" w:rsidR="00C92F32" w:rsidRPr="00591B5C" w:rsidRDefault="00C92F32" w:rsidP="00C73730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возникновение новых потребителей вторичного сырья ведёт к росту цен;</w:t>
      </w:r>
    </w:p>
    <w:p w14:paraId="2D04887B" w14:textId="77777777" w:rsidR="00C92F32" w:rsidRPr="00591B5C" w:rsidRDefault="00C92F32" w:rsidP="00ED3DA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лицензирование деятельности по заготовке вторичного сырья;</w:t>
      </w:r>
    </w:p>
    <w:p w14:paraId="21F499D2" w14:textId="77777777" w:rsidR="00C92F32" w:rsidRPr="00591B5C" w:rsidRDefault="00C92F32" w:rsidP="00ED3DA7">
      <w:pPr>
        <w:numPr>
          <w:ilvl w:val="0"/>
          <w:numId w:val="5"/>
        </w:numPr>
        <w:shd w:val="clear" w:color="auto" w:fill="FFFFFF"/>
        <w:tabs>
          <w:tab w:val="clear" w:pos="1353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неконкурентоспособность продукции, производимой из отходов;</w:t>
      </w:r>
    </w:p>
    <w:p w14:paraId="3FBDDD8A" w14:textId="77777777" w:rsidR="00C92F32" w:rsidRPr="00591B5C" w:rsidRDefault="00C92F32" w:rsidP="00ED3DA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высокий уровень налогообложения (доля НДС и налога на прибыль в объёме реализации продукции оценивается в 20—60 %, отношение величины налогов к величине прибыли предприятия составляет 85—130 %);</w:t>
      </w:r>
    </w:p>
    <w:p w14:paraId="71E8BF36" w14:textId="77777777" w:rsidR="00C92F32" w:rsidRPr="00591B5C" w:rsidRDefault="00C92F32" w:rsidP="00C7373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lastRenderedPageBreak/>
        <w:t>реальный срок окупаемости капитальных затрат для большинства распространённых технологий оценивается в 3—5 лет.</w:t>
      </w:r>
    </w:p>
    <w:p w14:paraId="08FC70C8" w14:textId="77777777" w:rsidR="00C92F32" w:rsidRPr="00591B5C" w:rsidRDefault="00580D6A" w:rsidP="00C7373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</w:t>
      </w:r>
      <w:r w:rsidR="00C92F32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рамках заседания Государственного совета РФ по теме «Экологическое развитие Российской Федерации в интересах будущих поколений», было озвучено, что проблему переработки мусора предлагается решать с помощью строительства мусоросжигательных заводов (МСЗ). Схема так называемой термической обработки отходов предусматривает строительство таких предприятий по всей стране</w:t>
      </w:r>
      <w:r w:rsidR="00AD5DBF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, н</w:t>
      </w:r>
      <w:r w:rsidR="00C92F32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еобходимо </w:t>
      </w:r>
      <w:r w:rsidR="00AD5DBF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также </w:t>
      </w:r>
      <w:r w:rsidR="00C92F32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создание в регионах современных высокотехнологичных комплексов по утилизации отходов</w:t>
      </w:r>
      <w:r w:rsidR="00AD5DBF"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</w:p>
    <w:p w14:paraId="577F6D5D" w14:textId="77777777" w:rsidR="00580D6A" w:rsidRPr="00591B5C" w:rsidRDefault="00580D6A" w:rsidP="00C7373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591B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Вместо экологически опасных полигонов по захоронению отходов планируется строительство современных предприятий по переработке отходов производства и потребления. Так, в Подмосковье, будут построены 11 современных комплексов по сортировке, переработке, размещению и обезвреживанию отходов. Руководство субъекта РФ собирается применять такие технологии обращения с отходами, как сортировка с извлечением ценных компонентов для рециклинга, производство топлива, компостирование и термическое обезвреживание.</w:t>
      </w:r>
    </w:p>
    <w:p w14:paraId="4E937847" w14:textId="77777777" w:rsidR="00641ECA" w:rsidRDefault="00887BCD" w:rsidP="00C73730">
      <w:pPr>
        <w:pStyle w:val="1"/>
        <w:spacing w:before="240" w:line="360" w:lineRule="auto"/>
        <w:jc w:val="center"/>
        <w:rPr>
          <w:color w:val="000000" w:themeColor="text1"/>
          <w:sz w:val="26"/>
          <w:szCs w:val="26"/>
        </w:rPr>
      </w:pPr>
      <w:bookmarkStart w:id="1" w:name="_Toc8756316"/>
      <w:r w:rsidRPr="00591B5C">
        <w:rPr>
          <w:color w:val="000000" w:themeColor="text1"/>
          <w:sz w:val="26"/>
          <w:szCs w:val="26"/>
        </w:rPr>
        <w:t>1</w:t>
      </w:r>
      <w:r w:rsidR="00641ECA">
        <w:rPr>
          <w:color w:val="000000" w:themeColor="text1"/>
          <w:sz w:val="26"/>
          <w:szCs w:val="26"/>
        </w:rPr>
        <w:t>2</w:t>
      </w:r>
      <w:r w:rsidRPr="00591B5C">
        <w:rPr>
          <w:color w:val="000000" w:themeColor="text1"/>
          <w:sz w:val="26"/>
          <w:szCs w:val="26"/>
        </w:rPr>
        <w:t xml:space="preserve">.2 </w:t>
      </w:r>
      <w:r w:rsidR="00580D6A" w:rsidRPr="00591B5C">
        <w:rPr>
          <w:color w:val="000000" w:themeColor="text1"/>
          <w:sz w:val="26"/>
          <w:szCs w:val="26"/>
        </w:rPr>
        <w:t xml:space="preserve">Создание оптимальной перспективной территориальной системы обращения с отходами, на территории </w:t>
      </w:r>
      <w:r w:rsidR="002A2B69" w:rsidRPr="00591B5C">
        <w:rPr>
          <w:color w:val="000000" w:themeColor="text1"/>
          <w:sz w:val="26"/>
          <w:szCs w:val="26"/>
        </w:rPr>
        <w:t xml:space="preserve">Чувашской </w:t>
      </w:r>
      <w:r w:rsidR="000F48D0" w:rsidRPr="00591B5C">
        <w:rPr>
          <w:color w:val="000000" w:themeColor="text1"/>
          <w:sz w:val="26"/>
          <w:szCs w:val="26"/>
        </w:rPr>
        <w:t>Республики</w:t>
      </w:r>
      <w:bookmarkEnd w:id="1"/>
      <w:r w:rsidR="002A2B69" w:rsidRPr="00591B5C">
        <w:rPr>
          <w:color w:val="000000" w:themeColor="text1"/>
          <w:sz w:val="26"/>
          <w:szCs w:val="26"/>
        </w:rPr>
        <w:t>.</w:t>
      </w:r>
      <w:bookmarkStart w:id="2" w:name="_Toc8756317"/>
    </w:p>
    <w:p w14:paraId="0A7A206D" w14:textId="77777777" w:rsidR="00F97F88" w:rsidRPr="00591B5C" w:rsidRDefault="00641ECA" w:rsidP="00C73730">
      <w:pPr>
        <w:pStyle w:val="1"/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12.2.1 </w:t>
      </w:r>
      <w:r w:rsidR="00F97F88" w:rsidRPr="00591B5C">
        <w:rPr>
          <w:color w:val="000000" w:themeColor="text1"/>
          <w:sz w:val="26"/>
          <w:szCs w:val="26"/>
        </w:rPr>
        <w:t xml:space="preserve">Оптимизация </w:t>
      </w:r>
      <w:r w:rsidR="00522E44" w:rsidRPr="00591B5C">
        <w:rPr>
          <w:color w:val="000000" w:themeColor="text1"/>
          <w:sz w:val="26"/>
          <w:szCs w:val="26"/>
        </w:rPr>
        <w:t>подбора направлений по строительству предприятий по утилизации и обезвреживанию</w:t>
      </w:r>
      <w:bookmarkEnd w:id="2"/>
    </w:p>
    <w:p w14:paraId="0A3AA6E7" w14:textId="77777777" w:rsidR="000D2F66" w:rsidRPr="00591B5C" w:rsidRDefault="000D2F66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На сегодняшний день глобальное размещение отходов на полигонах является проблемой, имеющей место не только в </w:t>
      </w:r>
      <w:r w:rsidR="002A2B6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Чувашской Республике,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но и в большинстве регионов Российской Федерации. </w:t>
      </w:r>
    </w:p>
    <w:p w14:paraId="0721B354" w14:textId="77777777" w:rsidR="00E60159" w:rsidRPr="00591B5C" w:rsidRDefault="002A2B69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Чувашская </w:t>
      </w:r>
      <w:r w:rsidR="00FF52CE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Республика</w:t>
      </w:r>
      <w:r w:rsidR="00E6015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не имеет предприятий для размещения имеющихся ВМР для дальнейшей переработки. Плечо удаленности ближайших предприятий делает нерентабельным процесс сортировки, а тем более систему раздельного сбора ТКО. </w:t>
      </w:r>
    </w:p>
    <w:p w14:paraId="32E954F7" w14:textId="77777777" w:rsidR="00E60159" w:rsidRPr="00591B5C" w:rsidRDefault="00E60159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Оптимизация подбора производств должна осуществляться исходя из:</w:t>
      </w:r>
    </w:p>
    <w:p w14:paraId="3C6D4B17" w14:textId="77777777" w:rsidR="00E60159" w:rsidRPr="00591B5C" w:rsidRDefault="00E60159" w:rsidP="00C73730">
      <w:pPr>
        <w:pStyle w:val="a0"/>
        <w:numPr>
          <w:ilvl w:val="0"/>
          <w:numId w:val="7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Наличия ВМР;</w:t>
      </w:r>
    </w:p>
    <w:p w14:paraId="47E69682" w14:textId="77777777" w:rsidR="00E60159" w:rsidRPr="00591B5C" w:rsidRDefault="00E60159" w:rsidP="00C73730">
      <w:pPr>
        <w:pStyle w:val="a0"/>
        <w:numPr>
          <w:ilvl w:val="0"/>
          <w:numId w:val="7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lastRenderedPageBreak/>
        <w:t>Потребности региона в производимой продукции, учитывая достаточно низкую себестоимость продукции, произведенной из ВМР необходимо в первую очередь рассматривать потребности региона, разыгрываемые по госзакупкам.</w:t>
      </w:r>
    </w:p>
    <w:p w14:paraId="7428DB4E" w14:textId="77777777" w:rsidR="00E60159" w:rsidRPr="00591B5C" w:rsidRDefault="00186158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Проведение подобной оптимизации подразумевает определен</w:t>
      </w:r>
      <w:r w:rsidR="00306DE3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ный объем работ, не прописанный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в техническом задании, поэтому не может быть объектом данного договора.</w:t>
      </w:r>
    </w:p>
    <w:p w14:paraId="5E72369F" w14:textId="77777777" w:rsidR="00186158" w:rsidRDefault="00186158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Однако</w:t>
      </w:r>
      <w:r w:rsidR="00306DE3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,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учитывая общий объем ВМР, образующийся в </w:t>
      </w:r>
      <w:r w:rsidR="002A2B6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Чувашской </w:t>
      </w:r>
      <w:r w:rsidR="00FF451C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Республике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, который составляет </w:t>
      </w:r>
      <w:r w:rsidR="00FF52CE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98810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т/год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(35%</w:t>
      </w:r>
      <w:r w:rsidR="00FF52CE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от объема образуемых ТКО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)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, необходимо иметь предприятия по переработке ПЭТ-бутылки, прочих пластиков, пленки, стекла, древесных отходов, бумаги, оргтехники, резинотехнических изделий, строительных материалов, текстил</w:t>
      </w:r>
      <w:r w:rsidR="00306DE3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я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. Необходим подбор технологий по переработке и использованию биоразлагаемых отходов, которые </w:t>
      </w:r>
      <w:r w:rsidR="001B1580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составляют 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также </w:t>
      </w:r>
      <w:r w:rsidR="00FF52CE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98810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т/год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(35</w:t>
      </w:r>
      <w:r w:rsidR="00D5044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%)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. Оставшиеся 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неперерабатываемые отходы (30</w:t>
      </w:r>
      <w:r w:rsidR="00D5044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</w:t>
      </w:r>
      <w:r w:rsidR="00B7682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%) подлежат захоронению на полигонах, либо также могут стать объектами утилизации, если подвергнутся термической обработке с последующим производством тепла и электроэнергии.</w:t>
      </w:r>
    </w:p>
    <w:p w14:paraId="5EA65231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Проблема переработки твердых бытовых отходов в настоящее время актуальна для большинства регионов Российской Федерации, Чувашия не является исключением. Вопрос обращения с твердыми бытовыми отходами в Чувашской Республике является одним из приоритетных. </w:t>
      </w:r>
    </w:p>
    <w:p w14:paraId="2DAC193D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В целях организации деятельности по внедрению системы раздельного сбора ТКО порядок сбора ТКО (в т.ч. их раздельного сбора) на территории Чувашской Республики утвержден приказом от 09.10.2017 № 03/1-03/886 «Об утверждении Порядка сбора твердых коммунальных отходов (в том числе их раздельного сбора) на территории Чувашской Республики».</w:t>
      </w:r>
    </w:p>
    <w:p w14:paraId="3E51012B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Данный порядком предусмотрено осуществление раздельного сбора твердых коммунальных отходов (ТКО) потребителями по установленным видам отходов и складирование сортированных ТКО в отдельных контейнерах для соответствующих видов ТКО. </w:t>
      </w:r>
    </w:p>
    <w:p w14:paraId="44A69774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lastRenderedPageBreak/>
        <w:t xml:space="preserve">Раздельный сбор ТКО на территории Чувашской Республики внедряется поэтапно в соответствии с законодательством Российской Федерации и законодательством Чувашской Республики. </w:t>
      </w:r>
    </w:p>
    <w:p w14:paraId="460D05E5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при участии Министерства природных ресурсов и экологии Чувашской Республики в 2019 году была создана Ассоциация предприятий отрасли переработки сырья и отходов «Экотехнопарк Чувашия» и разработана концепция создания и развития экотехнопарка кластерного типа врамках которой отдельным ключевым этапом обозначено создание на территории опережающего социально-экономического развития города Новочебоксарска новой обособленной площадки.</w:t>
      </w:r>
    </w:p>
    <w:p w14:paraId="7CA80A57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В рамках индустриального парка в г.Новочебоксарск планируется размещение производств по утилизации и переработке отходов — «Экотехнопарк».</w:t>
      </w:r>
    </w:p>
    <w:p w14:paraId="55A197E0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Распоряжением Кабинета Министров Чувашской Республики от 31.03.2020 № 254-р, создана рабочая группа по разработке концепции создания и развития экотехнопарка кластерного типа на территории Чувашской Республики в рамках перехода на экономику замкнутого цикла, разработана дорожная карта по созданию и развитию экотехнопарка кластерного типа на территории Чувашской Республики в рамках перехода на экономику замкнутого цикла.</w:t>
      </w:r>
    </w:p>
    <w:p w14:paraId="334C5859" w14:textId="77777777" w:rsidR="00AB2D37" w:rsidRPr="00AB2D37" w:rsidRDefault="00AB2D37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В качестве потенциальных резидентов по переработке ТКО кластера «Экотехнопарк» планируемого индустриального парка г.Новочебоксарск Минприроды Чувашии согласованы:</w:t>
      </w:r>
    </w:p>
    <w:p w14:paraId="12E61E5C" w14:textId="77777777" w:rsidR="00AB2D37" w:rsidRPr="00AB2D37" w:rsidRDefault="00720EB2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1. </w:t>
      </w:r>
      <w:r w:rsidR="00AB2D37"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ИП Платонов А.Н. (ИНН 212408154355);</w:t>
      </w:r>
    </w:p>
    <w:p w14:paraId="2127629A" w14:textId="77777777" w:rsidR="00AB2D37" w:rsidRPr="00AB2D37" w:rsidRDefault="00720EB2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2. </w:t>
      </w:r>
      <w:r w:rsidR="00AB2D37"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ООО «Строительные покрытия» (ИНН 2130047620);</w:t>
      </w:r>
    </w:p>
    <w:p w14:paraId="7EFE63BE" w14:textId="77777777" w:rsidR="00AB2D37" w:rsidRPr="00AB2D37" w:rsidRDefault="00720EB2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3. </w:t>
      </w:r>
      <w:r w:rsidR="00AB2D37"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ООО НПП «Нейрон» (ИНН 2130067320;</w:t>
      </w:r>
    </w:p>
    <w:p w14:paraId="004559E7" w14:textId="77777777" w:rsidR="00720EB2" w:rsidRPr="00AB2D37" w:rsidRDefault="00720EB2" w:rsidP="00AB2D3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4. </w:t>
      </w:r>
      <w:r w:rsidR="00AB2D37"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ООО НПП «УПЭК» (ИНН 2130216526);</w:t>
      </w:r>
    </w:p>
    <w:p w14:paraId="7F96995A" w14:textId="77777777" w:rsidR="00AB2D37" w:rsidRDefault="00AB2D37" w:rsidP="00AB2D37">
      <w:pPr>
        <w:suppressAutoHyphens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AB2D37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5. ИП Пухов Е.В. (ИНН 212400332694).</w:t>
      </w:r>
    </w:p>
    <w:p w14:paraId="4F8618DE" w14:textId="77777777" w:rsidR="005206D9" w:rsidRPr="005206D9" w:rsidRDefault="005206D9" w:rsidP="00720EB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b/>
          <w:sz w:val="26"/>
          <w:szCs w:val="26"/>
          <w:lang w:val="ru-RU"/>
        </w:rPr>
        <w:t>Способы утилизации полимерных отходов.</w:t>
      </w:r>
    </w:p>
    <w:p w14:paraId="6674D895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="00720E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зависимости от состояния полимерных отходов</w:t>
      </w:r>
      <w:r w:rsidR="00720E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(их состава, загрязненности, степени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деструкции) они либо перерабатываются как смесь полимеров, либо делятся на</w:t>
      </w:r>
      <w:r w:rsidR="00720EB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индивидуальные компоненты</w:t>
      </w:r>
      <w:r w:rsidR="00B45158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 w:bidi="ar-SA"/>
        </w:rPr>
        <w:pict w14:anchorId="066130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110.7pt;margin-top:22.35pt;width:.75pt;height:9.9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"/>
        </w:pic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2BA5C776" w14:textId="77777777" w:rsidR="005206D9" w:rsidRPr="005206D9" w:rsidRDefault="005206D9" w:rsidP="00520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 w:bidi="ar-SA"/>
        </w:rPr>
        <w:lastRenderedPageBreak/>
        <w:drawing>
          <wp:inline distT="0" distB="0" distL="0" distR="0" wp14:anchorId="5981BF5B" wp14:editId="6196E8D0">
            <wp:extent cx="5940425" cy="4089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D2F6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Рисунок 12.2.1- Схема предварительной обработки полимерных отходов</w:t>
      </w:r>
    </w:p>
    <w:p w14:paraId="1F66D9B9" w14:textId="77777777" w:rsidR="005206D9" w:rsidRPr="005206D9" w:rsidRDefault="005206D9" w:rsidP="00720EB2">
      <w:pPr>
        <w:spacing w:before="240"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Компостирование ТКО</w:t>
      </w:r>
    </w:p>
    <w:p w14:paraId="47BB4415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Одним из наиболее применяемых методов переработки твердых коммунальных отходов является компостирование, которое можно разделить на:</w:t>
      </w:r>
    </w:p>
    <w:p w14:paraId="762FA41B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аэробное компостирование 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 в промышленных условиях;</w:t>
      </w:r>
    </w:p>
    <w:p w14:paraId="1CB78EC8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аэробное компостирование 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 в полевых условиях;</w:t>
      </w:r>
    </w:p>
    <w:p w14:paraId="48ED4295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анаэробное компостирование 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обезвреживания и последующего использования.</w:t>
      </w:r>
    </w:p>
    <w:p w14:paraId="5120233F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Переработка отходов на компост – достаточно совершенный прием их обезвреживания и последующего использования. Технологический процесс аэробного компостирования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ТКО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промышленных условиях (рис.12.2.2.)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полностью механизирован.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cr/>
      </w:r>
      <w:r w:rsidRPr="005206D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 wp14:anchorId="756E5CD5" wp14:editId="25EC5F73">
            <wp:extent cx="5553075" cy="3209925"/>
            <wp:effectExtent l="0" t="0" r="0" b="0"/>
            <wp:docPr id="4" name="Рисунок 4" descr="C:\Users\Алексей Автономов\Picture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 Автономов\Pictures\рисун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0EE9" w14:textId="77777777" w:rsidR="005206D9" w:rsidRPr="005206D9" w:rsidRDefault="005206D9" w:rsidP="005206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Рисунок 12.2.2-Схема технологии аэробного компостирования ТКО</w:t>
      </w:r>
    </w:p>
    <w:p w14:paraId="4C49F77B" w14:textId="77777777" w:rsidR="00AB2D37" w:rsidRPr="00591B5C" w:rsidRDefault="005206D9" w:rsidP="00720EB2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 учетом подготовки к реализации на территории Российской Федерации национального проекта «Экология», направленного на комплексную реорганизацию системы обращения с отходами, а также ввиду готовящихся изменений в законодательстве РФ в сфере осуществления стимулирующих мер по созданию технопарков экологической направленности, подобное предприятие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выступит системным интегратором в создании на территории Чувашской Республики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206D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сети инновационных предприятий по утилизации и обезвреживанию отходов производства и потребления.</w:t>
      </w:r>
    </w:p>
    <w:p w14:paraId="4CA806AB" w14:textId="77777777" w:rsidR="006041A6" w:rsidRDefault="00641ECA" w:rsidP="00C73730">
      <w:pPr>
        <w:pStyle w:val="2"/>
        <w:numPr>
          <w:ilvl w:val="0"/>
          <w:numId w:val="0"/>
        </w:numPr>
        <w:spacing w:before="240" w:after="0" w:line="360" w:lineRule="auto"/>
        <w:jc w:val="center"/>
        <w:rPr>
          <w:color w:val="000000" w:themeColor="text1"/>
          <w:sz w:val="26"/>
          <w:szCs w:val="26"/>
        </w:rPr>
      </w:pPr>
      <w:bookmarkStart w:id="3" w:name="_Toc8756318"/>
      <w:r>
        <w:rPr>
          <w:color w:val="000000" w:themeColor="text1"/>
          <w:sz w:val="26"/>
          <w:szCs w:val="26"/>
        </w:rPr>
        <w:t xml:space="preserve">12.2.2 </w:t>
      </w:r>
      <w:r w:rsidR="006041A6" w:rsidRPr="00591B5C">
        <w:rPr>
          <w:color w:val="000000" w:themeColor="text1"/>
          <w:sz w:val="26"/>
          <w:szCs w:val="26"/>
        </w:rPr>
        <w:t xml:space="preserve">Оптимизация системы сбора ТКО в </w:t>
      </w:r>
      <w:r w:rsidR="002A2B69" w:rsidRPr="00591B5C">
        <w:rPr>
          <w:color w:val="000000" w:themeColor="text1"/>
          <w:sz w:val="26"/>
          <w:szCs w:val="26"/>
        </w:rPr>
        <w:t xml:space="preserve">Чувашской </w:t>
      </w:r>
      <w:r w:rsidR="006049C7" w:rsidRPr="00591B5C">
        <w:rPr>
          <w:color w:val="000000" w:themeColor="text1"/>
          <w:sz w:val="26"/>
          <w:szCs w:val="26"/>
        </w:rPr>
        <w:t>Республике</w:t>
      </w:r>
      <w:r w:rsidR="006041A6" w:rsidRPr="00591B5C">
        <w:rPr>
          <w:color w:val="000000" w:themeColor="text1"/>
          <w:sz w:val="26"/>
          <w:szCs w:val="26"/>
        </w:rPr>
        <w:t>, внедрение системы раздельного сбора ТКО.</w:t>
      </w:r>
      <w:bookmarkEnd w:id="3"/>
    </w:p>
    <w:p w14:paraId="6514B7EB" w14:textId="77777777" w:rsidR="0063176E" w:rsidRPr="00591B5C" w:rsidRDefault="0063176E" w:rsidP="00C73730">
      <w:pPr>
        <w:suppressAutoHyphens/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В п.</w:t>
      </w:r>
      <w:r w:rsidR="001B1580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1</w:t>
      </w:r>
      <w:r w:rsidR="00641ECA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2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.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2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.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1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данного раздела было указано, что доля ВМР в общем количестве производимых ТКО составляет 35%. Одн</w:t>
      </w:r>
      <w:r w:rsidR="00887BCD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ако, выделить данное количество</w:t>
      </w:r>
      <w:r w:rsidR="001B1580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ВМР из смешанных отходов путем обработки (сортировки) не </w:t>
      </w:r>
      <w:r w:rsidR="00AF769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предоставляется возможным, т.к. 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имеет очень большое загрязнение биоразлагаемыми отходами и</w:t>
      </w:r>
      <w:r w:rsidR="00AF769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,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после транспортировки в мусоровозах с большой степенью уплотнения</w:t>
      </w:r>
      <w:r w:rsidR="00887BCD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,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представляет собой практически неделимую массу. </w:t>
      </w:r>
      <w:r w:rsidR="00AF769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Максимальное извлечение ВМР из смешанных ТКО составляет от 1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2 до 15</w:t>
      </w:r>
      <w:r w:rsidR="0053261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%.</w:t>
      </w:r>
    </w:p>
    <w:p w14:paraId="66E09E7E" w14:textId="77777777" w:rsidR="00AF769B" w:rsidRPr="00591B5C" w:rsidRDefault="00AF769B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lastRenderedPageBreak/>
        <w:t>Для получения максимальной доходности от использования ВМР необходимо использовать другие подходы к организации системы сбора ТКО, которыми являются:</w:t>
      </w:r>
    </w:p>
    <w:p w14:paraId="522D25BC" w14:textId="77777777" w:rsidR="00AF769B" w:rsidRPr="00591B5C" w:rsidRDefault="00AF769B" w:rsidP="00C73730">
      <w:pPr>
        <w:pStyle w:val="a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Раздельный сбор;</w:t>
      </w:r>
    </w:p>
    <w:p w14:paraId="290D6E99" w14:textId="77777777" w:rsidR="00AF769B" w:rsidRPr="00591B5C" w:rsidRDefault="00AF769B" w:rsidP="00C73730">
      <w:pPr>
        <w:pStyle w:val="a0"/>
        <w:numPr>
          <w:ilvl w:val="0"/>
          <w:numId w:val="8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Пункты приема вторичного сырья.</w:t>
      </w:r>
    </w:p>
    <w:p w14:paraId="03589A22" w14:textId="77777777" w:rsidR="00AF769B" w:rsidRPr="00591B5C" w:rsidRDefault="00AB7BEE" w:rsidP="00C73730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Чувашская 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Республика</w:t>
      </w:r>
      <w:r w:rsidR="00AF769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имеет 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определенный опыт</w:t>
      </w:r>
      <w:r w:rsidR="00AF769B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организации обоих способов сбора вторичных материальных ресурсов.</w:t>
      </w:r>
    </w:p>
    <w:p w14:paraId="791DC6D1" w14:textId="77777777" w:rsidR="00A86800" w:rsidRPr="006647A4" w:rsidRDefault="00BA5501" w:rsidP="00C73730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Оценка эффективности внедрения раздельного сбора на территории </w:t>
      </w:r>
      <w:r w:rsidR="002A2B69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Чувашской 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Республики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представлена в Приложении </w:t>
      </w:r>
      <w:r w:rsidR="006049C7"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1</w:t>
      </w:r>
      <w:r w:rsidR="001158C4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2</w:t>
      </w:r>
      <w:r w:rsidR="00CA1C3F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>.1</w:t>
      </w:r>
      <w:r w:rsidRPr="00591B5C">
        <w:rPr>
          <w:rFonts w:ascii="Times New Roman" w:hAnsi="Times New Roman" w:cs="Times New Roman"/>
          <w:color w:val="000000" w:themeColor="text1"/>
          <w:sz w:val="26"/>
          <w:szCs w:val="26"/>
          <w:lang w:val="ru-RU" w:eastAsia="ar-SA"/>
        </w:rPr>
        <w:t xml:space="preserve"> к на</w:t>
      </w:r>
      <w:r w:rsidRPr="006647A4">
        <w:rPr>
          <w:rFonts w:ascii="Times New Roman" w:hAnsi="Times New Roman" w:cs="Times New Roman"/>
          <w:sz w:val="26"/>
          <w:szCs w:val="26"/>
          <w:lang w:val="ru-RU" w:eastAsia="ar-SA"/>
        </w:rPr>
        <w:t>стоящему разделу.</w:t>
      </w:r>
    </w:p>
    <w:sectPr w:rsidR="00A86800" w:rsidRPr="006647A4" w:rsidSect="009F4E2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02BF" w14:textId="77777777" w:rsidR="00B45158" w:rsidRDefault="00B45158" w:rsidP="009F4E2F">
      <w:pPr>
        <w:spacing w:after="0" w:line="240" w:lineRule="auto"/>
      </w:pPr>
      <w:r>
        <w:separator/>
      </w:r>
    </w:p>
  </w:endnote>
  <w:endnote w:type="continuationSeparator" w:id="0">
    <w:p w14:paraId="3EB29EE5" w14:textId="77777777" w:rsidR="00B45158" w:rsidRDefault="00B45158" w:rsidP="009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146289"/>
      <w:docPartObj>
        <w:docPartGallery w:val="Page Numbers (Bottom of Page)"/>
        <w:docPartUnique/>
      </w:docPartObj>
    </w:sdtPr>
    <w:sdtEndPr/>
    <w:sdtContent>
      <w:p w14:paraId="51FCEEA8" w14:textId="77777777" w:rsidR="00ED3DA7" w:rsidRDefault="00B4515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7A" w:rsidRPr="0018317A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6F5C8170" w14:textId="77777777" w:rsidR="00ED3DA7" w:rsidRDefault="00ED3DA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E997" w14:textId="77777777" w:rsidR="00B45158" w:rsidRDefault="00B45158" w:rsidP="009F4E2F">
      <w:pPr>
        <w:spacing w:after="0" w:line="240" w:lineRule="auto"/>
      </w:pPr>
      <w:r>
        <w:separator/>
      </w:r>
    </w:p>
  </w:footnote>
  <w:footnote w:type="continuationSeparator" w:id="0">
    <w:p w14:paraId="4A84D42A" w14:textId="77777777" w:rsidR="00B45158" w:rsidRDefault="00B45158" w:rsidP="009F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76B"/>
    <w:multiLevelType w:val="multilevel"/>
    <w:tmpl w:val="9F18F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CA4DB3"/>
    <w:multiLevelType w:val="hybridMultilevel"/>
    <w:tmpl w:val="019C2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D051F"/>
    <w:multiLevelType w:val="multilevel"/>
    <w:tmpl w:val="614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41993"/>
    <w:multiLevelType w:val="hybridMultilevel"/>
    <w:tmpl w:val="B7666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F30456"/>
    <w:multiLevelType w:val="multilevel"/>
    <w:tmpl w:val="F68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D2505"/>
    <w:multiLevelType w:val="multilevel"/>
    <w:tmpl w:val="6A0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B82FFF"/>
    <w:multiLevelType w:val="multilevel"/>
    <w:tmpl w:val="915AC69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0C90D1C"/>
    <w:multiLevelType w:val="multilevel"/>
    <w:tmpl w:val="3ED285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B324A"/>
    <w:multiLevelType w:val="hybridMultilevel"/>
    <w:tmpl w:val="FFF4F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FB2916"/>
    <w:multiLevelType w:val="hybridMultilevel"/>
    <w:tmpl w:val="EED0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4038A9"/>
    <w:multiLevelType w:val="hybridMultilevel"/>
    <w:tmpl w:val="E26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B8"/>
    <w:rsid w:val="00021EFE"/>
    <w:rsid w:val="000426DE"/>
    <w:rsid w:val="000719CB"/>
    <w:rsid w:val="000D2F66"/>
    <w:rsid w:val="000F48D0"/>
    <w:rsid w:val="001158C4"/>
    <w:rsid w:val="00124872"/>
    <w:rsid w:val="0018317A"/>
    <w:rsid w:val="001850AA"/>
    <w:rsid w:val="00186158"/>
    <w:rsid w:val="001956C0"/>
    <w:rsid w:val="001B1580"/>
    <w:rsid w:val="001B4005"/>
    <w:rsid w:val="001E1597"/>
    <w:rsid w:val="001E2A91"/>
    <w:rsid w:val="001E4C30"/>
    <w:rsid w:val="00232995"/>
    <w:rsid w:val="00241CC3"/>
    <w:rsid w:val="0024739A"/>
    <w:rsid w:val="002529B5"/>
    <w:rsid w:val="002617D1"/>
    <w:rsid w:val="002966F0"/>
    <w:rsid w:val="002A0178"/>
    <w:rsid w:val="002A2B69"/>
    <w:rsid w:val="002A2E55"/>
    <w:rsid w:val="002B284F"/>
    <w:rsid w:val="002B41F1"/>
    <w:rsid w:val="002F5481"/>
    <w:rsid w:val="002F7FD1"/>
    <w:rsid w:val="00306DE3"/>
    <w:rsid w:val="00311AE1"/>
    <w:rsid w:val="00330105"/>
    <w:rsid w:val="003310A3"/>
    <w:rsid w:val="00385A42"/>
    <w:rsid w:val="003B11FE"/>
    <w:rsid w:val="003D0103"/>
    <w:rsid w:val="00421476"/>
    <w:rsid w:val="00442694"/>
    <w:rsid w:val="0046734C"/>
    <w:rsid w:val="00473269"/>
    <w:rsid w:val="004A1C73"/>
    <w:rsid w:val="004B0BD1"/>
    <w:rsid w:val="004B4FA2"/>
    <w:rsid w:val="004D020E"/>
    <w:rsid w:val="004D58BD"/>
    <w:rsid w:val="005206D9"/>
    <w:rsid w:val="00522E44"/>
    <w:rsid w:val="0052646F"/>
    <w:rsid w:val="0053261B"/>
    <w:rsid w:val="0057677A"/>
    <w:rsid w:val="00580D6A"/>
    <w:rsid w:val="005872A7"/>
    <w:rsid w:val="00591B5C"/>
    <w:rsid w:val="005A54D3"/>
    <w:rsid w:val="005F2BB6"/>
    <w:rsid w:val="006041A6"/>
    <w:rsid w:val="006049C7"/>
    <w:rsid w:val="00606F18"/>
    <w:rsid w:val="00612D80"/>
    <w:rsid w:val="00614FB3"/>
    <w:rsid w:val="0063176E"/>
    <w:rsid w:val="00641ECA"/>
    <w:rsid w:val="006647A4"/>
    <w:rsid w:val="006B4DCE"/>
    <w:rsid w:val="006B7CD3"/>
    <w:rsid w:val="006D3861"/>
    <w:rsid w:val="00713E0D"/>
    <w:rsid w:val="00720EB2"/>
    <w:rsid w:val="00764FA5"/>
    <w:rsid w:val="007C2E80"/>
    <w:rsid w:val="007E7A9D"/>
    <w:rsid w:val="008059FA"/>
    <w:rsid w:val="00887BCD"/>
    <w:rsid w:val="0089098B"/>
    <w:rsid w:val="008935E6"/>
    <w:rsid w:val="008B1BE5"/>
    <w:rsid w:val="0091109E"/>
    <w:rsid w:val="009D61A6"/>
    <w:rsid w:val="009F4E2F"/>
    <w:rsid w:val="00A01019"/>
    <w:rsid w:val="00A73A20"/>
    <w:rsid w:val="00A86800"/>
    <w:rsid w:val="00A95472"/>
    <w:rsid w:val="00AB2D37"/>
    <w:rsid w:val="00AB7BEE"/>
    <w:rsid w:val="00AC65FE"/>
    <w:rsid w:val="00AD5DBF"/>
    <w:rsid w:val="00AE36D8"/>
    <w:rsid w:val="00AF769B"/>
    <w:rsid w:val="00B414CB"/>
    <w:rsid w:val="00B45158"/>
    <w:rsid w:val="00B76827"/>
    <w:rsid w:val="00B9537C"/>
    <w:rsid w:val="00BA25B2"/>
    <w:rsid w:val="00BA5501"/>
    <w:rsid w:val="00BC1005"/>
    <w:rsid w:val="00BE351C"/>
    <w:rsid w:val="00C0381B"/>
    <w:rsid w:val="00C401B8"/>
    <w:rsid w:val="00C40388"/>
    <w:rsid w:val="00C73730"/>
    <w:rsid w:val="00C761E3"/>
    <w:rsid w:val="00C92F32"/>
    <w:rsid w:val="00CA1C3F"/>
    <w:rsid w:val="00CE18BB"/>
    <w:rsid w:val="00D11696"/>
    <w:rsid w:val="00D332C6"/>
    <w:rsid w:val="00D4302E"/>
    <w:rsid w:val="00D50449"/>
    <w:rsid w:val="00D857DF"/>
    <w:rsid w:val="00DC2491"/>
    <w:rsid w:val="00DF393E"/>
    <w:rsid w:val="00E16B5E"/>
    <w:rsid w:val="00E21977"/>
    <w:rsid w:val="00E42A6D"/>
    <w:rsid w:val="00E60159"/>
    <w:rsid w:val="00E70480"/>
    <w:rsid w:val="00E8129E"/>
    <w:rsid w:val="00ED3DA7"/>
    <w:rsid w:val="00EE5CF4"/>
    <w:rsid w:val="00F42955"/>
    <w:rsid w:val="00F429FF"/>
    <w:rsid w:val="00F7418E"/>
    <w:rsid w:val="00F87E58"/>
    <w:rsid w:val="00F939AB"/>
    <w:rsid w:val="00F95CFC"/>
    <w:rsid w:val="00F97F88"/>
    <w:rsid w:val="00FB3C6C"/>
    <w:rsid w:val="00FE3679"/>
    <w:rsid w:val="00FF451C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  <w14:docId w14:val="370DB528"/>
  <w15:docId w15:val="{AC136A78-3660-47BD-847D-BB9409B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B8"/>
  </w:style>
  <w:style w:type="paragraph" w:styleId="1">
    <w:name w:val="heading 1"/>
    <w:basedOn w:val="a"/>
    <w:next w:val="a"/>
    <w:link w:val="10"/>
    <w:uiPriority w:val="9"/>
    <w:qFormat/>
    <w:rsid w:val="00887BCD"/>
    <w:pPr>
      <w:ind w:firstLine="709"/>
      <w:jc w:val="both"/>
      <w:outlineLvl w:val="0"/>
    </w:pPr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paragraph" w:styleId="2">
    <w:name w:val="heading 2"/>
    <w:basedOn w:val="a0"/>
    <w:next w:val="a"/>
    <w:link w:val="20"/>
    <w:uiPriority w:val="9"/>
    <w:unhideWhenUsed/>
    <w:qFormat/>
    <w:rsid w:val="00887BCD"/>
    <w:pPr>
      <w:numPr>
        <w:ilvl w:val="2"/>
        <w:numId w:val="11"/>
      </w:numPr>
      <w:suppressAutoHyphens/>
      <w:spacing w:line="240" w:lineRule="auto"/>
      <w:ind w:left="1440"/>
      <w:jc w:val="both"/>
      <w:outlineLvl w:val="1"/>
    </w:pPr>
    <w:rPr>
      <w:rFonts w:ascii="Times New Roman" w:hAnsi="Times New Roman" w:cs="Times New Roman"/>
      <w:b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87BCD"/>
    <w:rPr>
      <w:rFonts w:ascii="Times New Roman" w:hAnsi="Times New Roman" w:cs="Times New Roman"/>
      <w:b/>
      <w:sz w:val="28"/>
      <w:szCs w:val="28"/>
      <w:lang w:val="ru-RU" w:eastAsia="ar-SA"/>
    </w:rPr>
  </w:style>
  <w:style w:type="character" w:customStyle="1" w:styleId="10">
    <w:name w:val="Заголовок 1 Знак"/>
    <w:basedOn w:val="a1"/>
    <w:link w:val="1"/>
    <w:uiPriority w:val="9"/>
    <w:rsid w:val="00887BCD"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"/>
    <w:rsid w:val="00A73A2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73A2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73A20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73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A73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73A2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73A20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3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A73A20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3A20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73A20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73A20"/>
    <w:rPr>
      <w:b/>
      <w:bCs/>
    </w:rPr>
  </w:style>
  <w:style w:type="character" w:styleId="a9">
    <w:name w:val="Emphasis"/>
    <w:uiPriority w:val="20"/>
    <w:qFormat/>
    <w:rsid w:val="00A73A20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A73A20"/>
    <w:pPr>
      <w:spacing w:after="0" w:line="240" w:lineRule="auto"/>
    </w:pPr>
  </w:style>
  <w:style w:type="paragraph" w:styleId="a0">
    <w:name w:val="List Paragraph"/>
    <w:basedOn w:val="a"/>
    <w:uiPriority w:val="34"/>
    <w:qFormat/>
    <w:rsid w:val="00A7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73A2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73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A73A20"/>
    <w:rPr>
      <w:i/>
      <w:iCs/>
    </w:rPr>
  </w:style>
  <w:style w:type="character" w:styleId="ae">
    <w:name w:val="Subtle Emphasis"/>
    <w:uiPriority w:val="19"/>
    <w:qFormat/>
    <w:rsid w:val="00A73A20"/>
    <w:rPr>
      <w:i/>
      <w:iCs/>
    </w:rPr>
  </w:style>
  <w:style w:type="character" w:styleId="af">
    <w:name w:val="Intense Emphasis"/>
    <w:uiPriority w:val="21"/>
    <w:qFormat/>
    <w:rsid w:val="00A73A20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A73A20"/>
    <w:rPr>
      <w:smallCaps/>
    </w:rPr>
  </w:style>
  <w:style w:type="character" w:styleId="af1">
    <w:name w:val="Intense Reference"/>
    <w:uiPriority w:val="32"/>
    <w:qFormat/>
    <w:rsid w:val="00A73A20"/>
    <w:rPr>
      <w:b/>
      <w:bCs/>
      <w:smallCaps/>
    </w:rPr>
  </w:style>
  <w:style w:type="character" w:styleId="af2">
    <w:name w:val="Book Title"/>
    <w:basedOn w:val="a1"/>
    <w:uiPriority w:val="33"/>
    <w:qFormat/>
    <w:rsid w:val="00A73A2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73A20"/>
    <w:pPr>
      <w:outlineLvl w:val="9"/>
    </w:pPr>
  </w:style>
  <w:style w:type="table" w:styleId="af4">
    <w:name w:val="Table Grid"/>
    <w:basedOn w:val="a2"/>
    <w:uiPriority w:val="59"/>
    <w:rsid w:val="00021EFE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DF393E"/>
  </w:style>
  <w:style w:type="paragraph" w:styleId="11">
    <w:name w:val="toc 1"/>
    <w:basedOn w:val="a"/>
    <w:next w:val="a"/>
    <w:autoRedefine/>
    <w:uiPriority w:val="39"/>
    <w:unhideWhenUsed/>
    <w:rsid w:val="00887BC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91B5C"/>
    <w:pPr>
      <w:tabs>
        <w:tab w:val="left" w:pos="0"/>
        <w:tab w:val="left" w:pos="1100"/>
        <w:tab w:val="right" w:leader="dot" w:pos="9345"/>
      </w:tabs>
      <w:spacing w:after="100" w:line="360" w:lineRule="auto"/>
    </w:pPr>
  </w:style>
  <w:style w:type="character" w:styleId="af5">
    <w:name w:val="Hyperlink"/>
    <w:basedOn w:val="a1"/>
    <w:uiPriority w:val="99"/>
    <w:unhideWhenUsed/>
    <w:rsid w:val="00887BC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A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A2B69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F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9F4E2F"/>
  </w:style>
  <w:style w:type="paragraph" w:styleId="afa">
    <w:name w:val="footer"/>
    <w:basedOn w:val="a"/>
    <w:link w:val="afb"/>
    <w:uiPriority w:val="99"/>
    <w:unhideWhenUsed/>
    <w:rsid w:val="009F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9F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CF7D-C5E4-4481-B0CD-682BE4FD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Компьютер</cp:lastModifiedBy>
  <cp:revision>25</cp:revision>
  <dcterms:created xsi:type="dcterms:W3CDTF">2019-10-06T23:44:00Z</dcterms:created>
  <dcterms:modified xsi:type="dcterms:W3CDTF">2022-03-21T05:58:00Z</dcterms:modified>
</cp:coreProperties>
</file>