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>Приложение</w:t>
      </w: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 xml:space="preserve">к  решению </w:t>
      </w:r>
      <w:proofErr w:type="spellStart"/>
      <w:r w:rsidRPr="00A01934">
        <w:rPr>
          <w:rFonts w:ascii="Times New Roman" w:hAnsi="Times New Roman" w:cs="Times New Roman"/>
          <w:sz w:val="24"/>
          <w:szCs w:val="24"/>
        </w:rPr>
        <w:t>Моргаушской</w:t>
      </w:r>
      <w:proofErr w:type="spellEnd"/>
      <w:r w:rsidRPr="00A01934">
        <w:rPr>
          <w:rFonts w:ascii="Times New Roman" w:hAnsi="Times New Roman" w:cs="Times New Roman"/>
          <w:sz w:val="24"/>
          <w:szCs w:val="24"/>
        </w:rPr>
        <w:t xml:space="preserve">  территориальной избирательной комиссии</w:t>
      </w:r>
    </w:p>
    <w:p w:rsidR="00A01934" w:rsidRPr="00A01934" w:rsidRDefault="00A01934" w:rsidP="00A01934">
      <w:pPr>
        <w:spacing w:after="0" w:line="240" w:lineRule="auto"/>
        <w:ind w:left="4649" w:right="-79"/>
        <w:jc w:val="center"/>
        <w:rPr>
          <w:rFonts w:ascii="Times New Roman" w:hAnsi="Times New Roman" w:cs="Times New Roman"/>
          <w:sz w:val="24"/>
          <w:szCs w:val="24"/>
        </w:rPr>
      </w:pPr>
      <w:r w:rsidRPr="00A01934">
        <w:rPr>
          <w:rFonts w:ascii="Times New Roman" w:hAnsi="Times New Roman" w:cs="Times New Roman"/>
          <w:sz w:val="24"/>
          <w:szCs w:val="24"/>
        </w:rPr>
        <w:t>от «20» июня 2022 года № 36/4</w:t>
      </w:r>
    </w:p>
    <w:p w:rsidR="00A01934" w:rsidRPr="00A01934" w:rsidRDefault="00A01934" w:rsidP="00A01934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A01934" w:rsidRDefault="00A01934" w:rsidP="00A01934">
      <w:pPr>
        <w:spacing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934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934" w:rsidRPr="00A01934" w:rsidRDefault="00A01934" w:rsidP="00A01934">
      <w:pPr>
        <w:spacing w:line="240" w:lineRule="auto"/>
        <w:ind w:right="-8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934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 по подготовке и проведению выборов депутатов Собрания депутатов Моргаушского муниципального округа Чувашской Республики первого  созыва 11 сентября 2022 года</w:t>
      </w:r>
    </w:p>
    <w:p w:rsidR="00A01934" w:rsidRPr="00A01934" w:rsidRDefault="00A01934" w:rsidP="00A0193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1934">
        <w:rPr>
          <w:rFonts w:ascii="Times New Roman" w:hAnsi="Times New Roman" w:cs="Times New Roman"/>
          <w:b/>
          <w:i/>
          <w:sz w:val="24"/>
          <w:szCs w:val="24"/>
        </w:rPr>
        <w:t>День голосования: 11 сентября 2022 года</w:t>
      </w:r>
    </w:p>
    <w:tbl>
      <w:tblPr>
        <w:tblW w:w="1020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4536"/>
        <w:gridCol w:w="2410"/>
        <w:gridCol w:w="2686"/>
      </w:tblGrid>
      <w:tr w:rsidR="00A01934" w:rsidRPr="00A01934" w:rsidTr="00A01934">
        <w:trPr>
          <w:trHeight w:val="267"/>
          <w:tblHeader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hideMark/>
          </w:tcPr>
          <w:p w:rsidR="00A01934" w:rsidRPr="00A01934" w:rsidRDefault="00A01934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01934" w:rsidRPr="00A01934" w:rsidTr="00A01934">
        <w:trPr>
          <w:tblHeader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выборов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назначении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20 июня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решения о назначении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93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июня 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округа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избирательных округов для проведения выборов депутатов Собрания депутатов Моргаушского  муниципального округа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участки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списков избирательных участков с указанием их границ (если избирательный участок образован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 части территории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участок, участок референдума образован на территориях одного или нескольких населенных пунктов), номеров, мест нахождения участковых комиссий и помещений для голосования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Списки избирателей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об избирателях в территориальные избирательные комиссии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избирателей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30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списков избирателей для ознакомления избирателей и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уточнения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Разделение первого экземпляра списка избирателей на отдельные книги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Председатели и секретари УИК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Направление в избирательные комиссии, организующие выборы, списка избирательных объединений, имеющих право принимать участие в выборах в органы местного самоуправления, по состоянию на день официального опубликования решения о назначении выборов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объединений, имеющих право участвовать в выборах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политической партией, выдвинувшей кандидатов, которые зарегистрированы избирательной комиссией, предвыборной программы не менее чем в одном муниципальном периодическом печатном издании, а также размещение ее в сети «Интернет»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Политическая партия, выдвинувшая кандидатов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и регистрация кандидатов в депутаты представительных органов муниципальных образований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Самовыдвижение кандидатов, выдвижение кандидатов избирательными объединениями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</w:t>
            </w:r>
            <w:r w:rsidR="0093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2022 года и 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Заверение списка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кандидатов, выдвинутых по одномандатным округам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Сбор подписей в поддержку выдвижения кандидата.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дня, следующего за днем: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уведомления о выдвижении кандидата;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заверения списка</w:t>
            </w:r>
            <w:proofErr w:type="gramEnd"/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граждане Российской Федерации</w:t>
            </w: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для регистрации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18.00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 момента представления документов для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кандидатом, зарегистрированным кандидатом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письменного заявления кандидата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заверенной копии приказа (распоряжения) об освобождении кандидата на время его участия выборах от выполнения служебных обязанностей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Реализация права избирательного объединения отозвать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Реализация права кандидата, выдвинутого непосредственно, на снятие своей кандидатуры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 сентября 2022 года, а при наличии вынуждающих обстоятельств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9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Агитационный период</w:t>
            </w: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для избирательного объединения;</w:t>
            </w: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для кандидата, выдвинутого избирательным объединением в одномандатном избирательном округе;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для кандидата, выдвинутого в порядке самовыдвижения.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-со дня принятия решения о выдвижении кандидата;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со дня представления в комиссию документов, прилагаемых к заявлению о согласии баллотироваться;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со дня представления в комиссию заявления о согласии баллотироваться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ноля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13 августа 2022 года до ноля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избирательные объединения, граждане Российской Федерации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территориальный отдел по Чувашской Республике-Чувашии Управления 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из местного бюджета на их функционирование (в том числе в форме субсидий),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 (муниципальных образований)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перечня муниципальных организаций телерадиовещания и муниципальных периодических печатных изданий в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10 день после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Чувашской Республике-Чувашии Управления 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по Приволжскому федеральному округу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позднее, чем на 15 день после дня официального опубликования (публикации)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размере и иных условиях оплаты эфирного времени и печатной площади, услуг по размещению агитационных материалов,</w:t>
            </w:r>
          </w:p>
          <w:p w:rsidR="00A01934" w:rsidRPr="00A01934" w:rsidRDefault="00A01934" w:rsidP="00A0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площадь, услуги по размещению агитационных материалов в сетевом издании в организующие выборы избирательные комиссии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в целях распределения бесплатного и платного эфирного времени, бесплатной и платной печатной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ТИК, организации телерадиовещания и редакции периодических печатных изданий с участием заинтересованных лиц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комиссию, организующую выборы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лиц, уполномоченных представителей и доверенных лиц избирательных объединений с избирателями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подачи заявления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организаторов митингов, демонстраций, шествий, связанных с выборами депутатов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11 августа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6 по 11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средств массовой информации, граждане и организации, публикующие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обнародующие</w:t>
            </w:r>
            <w:proofErr w:type="spell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результаты опросов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, прогнозы результатов выборов и иных исследований, связанных с проводимыми выборами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Финансирование выборов</w:t>
            </w:r>
          </w:p>
        </w:tc>
      </w:tr>
      <w:tr w:rsidR="00A01934" w:rsidRPr="00A01934" w:rsidTr="00A01934">
        <w:trPr>
          <w:trHeight w:val="718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Финансирование избирательных комиссий, организующих выборы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порядке, установленном законом Чувашской Республики, из республиканского бюджета Чувашской Республики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вышестоящую избирательную комиссию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чем через 10 дней со дня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rPr>
          <w:trHeight w:val="1965"/>
        </w:trPr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Государственную службу Чувашской Республики по делам юстиции согласованного с ЦИК Чувашии финансового отчета о расходовании средств, выделенных на подготовку и проведение выборов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2 месяца со дня опубликования общих итогов выборов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избирательного фонда кандидатом.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(Создание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</w:t>
            </w:r>
            <w:proofErr w:type="gramEnd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этом случае кандидат уведомляет соответствующую избирательную комиссию об указанных обстоятельствах).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- после письменного уведомления избирательной комиссии о выдвижении до представления документов для регистрации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Периодически, по требованию избирательной комиссии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Предоставление заверенных копий первичных финансовых документов по представлению ТИК, по требованию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дней, а за три дня до дня голосования – немедленно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итогового финансового отчета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12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Перечисление в доход местного бюджета неизрасходованных денежных средств, оставшихся на счетах избирательных фондов кандидатов по письменному указанию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10 ноября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A01934" w:rsidRPr="00A01934" w:rsidTr="00A01934">
        <w:tc>
          <w:tcPr>
            <w:tcW w:w="10200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формы, текста, числа бюллетеней, а также порядка осуществления </w:t>
            </w:r>
            <w:proofErr w:type="gramStart"/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21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августа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ТИК, 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августа по 10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УИК, 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Подача в УИК заявления о желании проголосовать вне помещения для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до 14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Подача заявки на аккредитацию представителя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Редакции СМИ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 с 8 до 20 часов по местному времени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С 20 часов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сентября 2022 года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 по требованию члена участковой избирательной комиссии, наблюдателей, лиц, указанных в статье </w:t>
            </w: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Федерального закона от 12.06.2002 № 67-ФЗ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 после подписания протокола об итогах голосования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результатов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сентября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кандидата, избранного депутатом, о необходимости представить копию приказа (иного документа) об освобождении его от обязанностей, несовместимых со статусом депутата, выборного должностного лица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депутата, выборного должностного лица </w:t>
            </w:r>
          </w:p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пятидневный срок после извещения зарегистрированного кандидата, избранного депутатом, выборным должностным лицом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Избранный депутат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общих данных о результатах выборов в СМИ по избирательным округам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(обнародование)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11 октября 2022 года включительно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(обнародование) полных данных о результатах выборов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10 ноября 2022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общего пользования «Интернет» данных, содержащихся в протоколах всех избирательных комиссий об итогах голосования и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опубликования (обнародования) полных данных об итогах голосования, результатах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A01934" w:rsidRPr="00A01934" w:rsidTr="00A01934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 (включая подписные листы с подписями избирателей, бюллетени, списки избирателей)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1934" w:rsidRPr="00A01934" w:rsidRDefault="00A01934" w:rsidP="00A0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В течение года со дня официального опубликования результатов выборов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934" w:rsidRPr="00A01934" w:rsidRDefault="00A01934">
            <w:pPr>
              <w:spacing w:line="240" w:lineRule="auto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34">
              <w:rPr>
                <w:rFonts w:ascii="Times New Roman" w:hAnsi="Times New Roman" w:cs="Times New Roman"/>
                <w:sz w:val="24"/>
                <w:szCs w:val="24"/>
              </w:rPr>
              <w:t>УИК, ТИК</w:t>
            </w:r>
          </w:p>
        </w:tc>
      </w:tr>
    </w:tbl>
    <w:p w:rsidR="00A01934" w:rsidRPr="00A01934" w:rsidRDefault="00A01934" w:rsidP="00A01934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934" w:rsidRPr="00A01934" w:rsidRDefault="00A01934" w:rsidP="00A0193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6EBC" w:rsidRPr="00A01934" w:rsidRDefault="00E26EBC" w:rsidP="00254A06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6EBC" w:rsidRPr="00A01934" w:rsidSect="00B81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BC"/>
    <w:rsid w:val="00054AD5"/>
    <w:rsid w:val="00171601"/>
    <w:rsid w:val="00254A06"/>
    <w:rsid w:val="003A0A4B"/>
    <w:rsid w:val="004D0764"/>
    <w:rsid w:val="005C2FEE"/>
    <w:rsid w:val="00644A3C"/>
    <w:rsid w:val="00664153"/>
    <w:rsid w:val="00747FB4"/>
    <w:rsid w:val="00766EF2"/>
    <w:rsid w:val="007734B8"/>
    <w:rsid w:val="009348CF"/>
    <w:rsid w:val="00A01934"/>
    <w:rsid w:val="00B0241A"/>
    <w:rsid w:val="00B15D64"/>
    <w:rsid w:val="00B20BC8"/>
    <w:rsid w:val="00B50297"/>
    <w:rsid w:val="00B57B51"/>
    <w:rsid w:val="00B65BE3"/>
    <w:rsid w:val="00B810C5"/>
    <w:rsid w:val="00C21108"/>
    <w:rsid w:val="00C80D0D"/>
    <w:rsid w:val="00CE474C"/>
    <w:rsid w:val="00CE5EBC"/>
    <w:rsid w:val="00D10F29"/>
    <w:rsid w:val="00E26EBC"/>
    <w:rsid w:val="00E40EB2"/>
    <w:rsid w:val="00E846A3"/>
    <w:rsid w:val="00EE04B7"/>
    <w:rsid w:val="00F2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3"/>
  </w:style>
  <w:style w:type="paragraph" w:styleId="3">
    <w:name w:val="heading 3"/>
    <w:basedOn w:val="a"/>
    <w:next w:val="a"/>
    <w:link w:val="30"/>
    <w:qFormat/>
    <w:rsid w:val="00E26E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26EBC"/>
    <w:pPr>
      <w:spacing w:after="0" w:line="240" w:lineRule="auto"/>
      <w:ind w:right="48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26EBC"/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14-1"/>
    <w:aliases w:val="5,Текст14-1,Текст 14-1,Стиль12-1,Т-1,Ò-1"/>
    <w:basedOn w:val="a"/>
    <w:rsid w:val="00E26E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6EBC"/>
    <w:rPr>
      <w:rFonts w:ascii="Times New Roman" w:eastAsia="Times New Roman" w:hAnsi="Times New Roman" w:cs="Times New Roman"/>
      <w:b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APM-TIK</cp:lastModifiedBy>
  <cp:revision>11</cp:revision>
  <cp:lastPrinted>2022-05-24T13:10:00Z</cp:lastPrinted>
  <dcterms:created xsi:type="dcterms:W3CDTF">2022-06-16T10:51:00Z</dcterms:created>
  <dcterms:modified xsi:type="dcterms:W3CDTF">2022-07-18T08:31:00Z</dcterms:modified>
</cp:coreProperties>
</file>