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right"/>
        <w:rPr>
          <w:b/>
          <w:i/>
        </w:rPr>
      </w:pPr>
    </w:p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СОБРАНИЕ  ДЕПУТАТОВ ПОРЕЦКОГО МУНИЦИПАЛЬНОГО ОКРУГА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ЧУВАШСКОЙ РЕСПУБЛИКИ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РЕШЕНИЕ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Собрания депутатов первого созыва</w:t>
      </w:r>
    </w:p>
    <w:p w:rsidR="00247829" w:rsidRPr="00F204F6" w:rsidRDefault="003B3864" w:rsidP="00247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декабря 2022 года № С-08</w:t>
      </w:r>
      <w:r w:rsidR="00247829" w:rsidRPr="00F204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</w:t>
      </w:r>
      <w:proofErr w:type="gramStart"/>
      <w:r w:rsidRPr="00F204F6">
        <w:rPr>
          <w:rFonts w:ascii="Times New Roman" w:hAnsi="Times New Roman" w:cs="Times New Roman"/>
        </w:rPr>
        <w:t>.П</w:t>
      </w:r>
      <w:proofErr w:type="gramEnd"/>
      <w:r w:rsidRPr="00F204F6">
        <w:rPr>
          <w:rFonts w:ascii="Times New Roman" w:hAnsi="Times New Roman" w:cs="Times New Roman"/>
        </w:rPr>
        <w:t>орецкое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5568"/>
      </w:tblGrid>
      <w:tr w:rsidR="00D12FB7" w:rsidTr="00431FFD">
        <w:trPr>
          <w:trHeight w:val="483"/>
        </w:trPr>
        <w:tc>
          <w:tcPr>
            <w:tcW w:w="3998" w:type="dxa"/>
            <w:hideMark/>
          </w:tcPr>
          <w:p w:rsidR="00D12FB7" w:rsidRDefault="00D12FB7" w:rsidP="006C63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муниципального имущества в собственность Порецкого муниципального округа Чувашской Республики</w:t>
            </w:r>
          </w:p>
        </w:tc>
        <w:tc>
          <w:tcPr>
            <w:tcW w:w="5573" w:type="dxa"/>
          </w:tcPr>
          <w:p w:rsidR="00D12FB7" w:rsidRDefault="00D12FB7" w:rsidP="0043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B7" w:rsidRDefault="00D12FB7" w:rsidP="00D12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B7" w:rsidRDefault="00D12FB7" w:rsidP="0052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A13">
        <w:rPr>
          <w:rFonts w:ascii="Times New Roman" w:hAnsi="Times New Roman" w:cs="Times New Roman"/>
          <w:sz w:val="24"/>
          <w:szCs w:val="24"/>
        </w:rPr>
        <w:t xml:space="preserve">В соответствии со статьей 50 Федерального закона от 06.10.2003 № 131-ФЗ «Об общих принципах организации местного самоуправления в Российской Федерации»,  </w:t>
      </w:r>
      <w:r w:rsidR="005C5A13" w:rsidRPr="005C5A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5C5A13" w:rsidRPr="005C5A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муниципального округа и городского округа»</w:t>
      </w:r>
      <w:r w:rsidRPr="005C5A13">
        <w:rPr>
          <w:rFonts w:ascii="Times New Roman" w:hAnsi="Times New Roman" w:cs="Times New Roman"/>
          <w:sz w:val="24"/>
          <w:szCs w:val="24"/>
        </w:rPr>
        <w:t>, в целях урегулирования вопросов правопреемства</w:t>
      </w:r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Собрание депутатов Порецкого муниципального округа</w:t>
      </w:r>
      <w:r w:rsidR="005C5A13" w:rsidRP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proofErr w:type="gramStart"/>
      <w:r w:rsidRPr="005C5A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е</w:t>
      </w:r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ш</w:t>
      </w:r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и</w:t>
      </w:r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л</w:t>
      </w:r>
      <w:r w:rsidR="005C5A13">
        <w:rPr>
          <w:rFonts w:ascii="Times New Roman" w:hAnsi="Times New Roman" w:cs="Times New Roman"/>
          <w:sz w:val="24"/>
          <w:szCs w:val="24"/>
        </w:rPr>
        <w:t xml:space="preserve"> </w:t>
      </w:r>
      <w:r w:rsidRPr="005C5A13">
        <w:rPr>
          <w:rFonts w:ascii="Times New Roman" w:hAnsi="Times New Roman" w:cs="Times New Roman"/>
          <w:sz w:val="24"/>
          <w:szCs w:val="24"/>
        </w:rPr>
        <w:t>о</w:t>
      </w:r>
      <w:r w:rsidRPr="00F453EF">
        <w:rPr>
          <w:rFonts w:ascii="Times New Roman" w:hAnsi="Times New Roman" w:cs="Times New Roman"/>
          <w:b/>
          <w:sz w:val="24"/>
          <w:szCs w:val="24"/>
        </w:rPr>
        <w:t>:</w:t>
      </w:r>
    </w:p>
    <w:p w:rsidR="006C6371" w:rsidRDefault="006C6371" w:rsidP="005C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62" w:rsidRDefault="00525562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Определить, что все имущество (в том числе земельные участки), находящееся в собственности </w:t>
      </w:r>
      <w:r w:rsidR="000F4C6D">
        <w:rPr>
          <w:rFonts w:ascii="Times New Roman" w:hAnsi="Times New Roman" w:cs="Times New Roman"/>
          <w:sz w:val="24"/>
          <w:szCs w:val="24"/>
        </w:rPr>
        <w:t>Муниципального образования Порецкий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 Чувашской Республики,</w:t>
      </w:r>
      <w:r w:rsidR="000F4C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D12FB7">
        <w:rPr>
          <w:rFonts w:ascii="Times New Roman" w:hAnsi="Times New Roman" w:cs="Times New Roman"/>
          <w:sz w:val="24"/>
          <w:szCs w:val="24"/>
        </w:rPr>
        <w:t>Порецко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Анастасовско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Козловско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Кудеихинско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Напольновско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 xml:space="preserve">е </w:t>
      </w:r>
      <w:r w:rsidR="00D12FB7" w:rsidRPr="007347D4">
        <w:rPr>
          <w:rFonts w:ascii="Times New Roman" w:hAnsi="Times New Roman" w:cs="Times New Roman"/>
          <w:sz w:val="24"/>
          <w:szCs w:val="24"/>
        </w:rPr>
        <w:t>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proofErr w:type="gram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Рындинско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 поселение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</w:t>
      </w:r>
      <w:r w:rsidR="000F4C6D" w:rsidRPr="000F4C6D">
        <w:rPr>
          <w:rFonts w:ascii="Times New Roman" w:hAnsi="Times New Roman" w:cs="Times New Roman"/>
          <w:sz w:val="24"/>
          <w:szCs w:val="24"/>
        </w:rPr>
        <w:t xml:space="preserve">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B7">
        <w:rPr>
          <w:rFonts w:ascii="Times New Roman" w:hAnsi="Times New Roman" w:cs="Times New Roman"/>
          <w:sz w:val="24"/>
          <w:szCs w:val="24"/>
        </w:rPr>
        <w:t>Мишуковско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D12FB7">
        <w:rPr>
          <w:rFonts w:ascii="Times New Roman" w:hAnsi="Times New Roman" w:cs="Times New Roman"/>
          <w:sz w:val="24"/>
          <w:szCs w:val="24"/>
        </w:rPr>
        <w:t>Семеновско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D12FB7">
        <w:rPr>
          <w:rFonts w:ascii="Times New Roman" w:hAnsi="Times New Roman" w:cs="Times New Roman"/>
          <w:sz w:val="24"/>
          <w:szCs w:val="24"/>
        </w:rPr>
        <w:t>Октябрьско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>
        <w:rPr>
          <w:rFonts w:ascii="Times New Roman" w:hAnsi="Times New Roman" w:cs="Times New Roman"/>
          <w:sz w:val="24"/>
          <w:szCs w:val="24"/>
        </w:rPr>
        <w:t xml:space="preserve"> </w:t>
      </w:r>
      <w:r w:rsidR="00D12FB7" w:rsidRPr="007347D4">
        <w:rPr>
          <w:rFonts w:ascii="Times New Roman" w:hAnsi="Times New Roman" w:cs="Times New Roman"/>
          <w:sz w:val="24"/>
          <w:szCs w:val="24"/>
        </w:rPr>
        <w:t>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D12FB7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Никулинско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D12FB7" w:rsidRPr="007347D4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Сиявско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0F4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Сыресинско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C6D">
        <w:rPr>
          <w:rFonts w:ascii="Times New Roman" w:hAnsi="Times New Roman" w:cs="Times New Roman"/>
          <w:sz w:val="24"/>
          <w:szCs w:val="24"/>
        </w:rPr>
        <w:t>е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переходит в собственность </w:t>
      </w:r>
      <w:r w:rsidR="001C68B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12FB7" w:rsidRPr="007347D4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без составления дополнительных передаточных документов. </w:t>
      </w:r>
    </w:p>
    <w:p w:rsidR="00525562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47D4"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1C68BD">
        <w:rPr>
          <w:rFonts w:ascii="Times New Roman" w:hAnsi="Times New Roman" w:cs="Times New Roman"/>
          <w:sz w:val="24"/>
          <w:szCs w:val="24"/>
        </w:rPr>
        <w:t>Козловского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1C68BD">
        <w:rPr>
          <w:rFonts w:ascii="Times New Roman" w:hAnsi="Times New Roman" w:cs="Times New Roman"/>
          <w:sz w:val="24"/>
          <w:szCs w:val="24"/>
        </w:rPr>
        <w:t>Семеновского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68BD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1C68BD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1C68BD" w:rsidRPr="007347D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1C68BD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8BD">
        <w:rPr>
          <w:rFonts w:ascii="Times New Roman" w:hAnsi="Times New Roman" w:cs="Times New Roman"/>
          <w:sz w:val="24"/>
          <w:szCs w:val="24"/>
        </w:rPr>
        <w:t>Порецкого</w:t>
      </w:r>
      <w:r w:rsidR="001C68BD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7347D4">
        <w:rPr>
          <w:rFonts w:ascii="Times New Roman" w:hAnsi="Times New Roman" w:cs="Times New Roman"/>
          <w:sz w:val="24"/>
          <w:szCs w:val="24"/>
        </w:rPr>
        <w:t xml:space="preserve"> в срок до 20.01.202</w:t>
      </w:r>
      <w:r w:rsidR="00420987">
        <w:rPr>
          <w:rFonts w:ascii="Times New Roman" w:hAnsi="Times New Roman" w:cs="Times New Roman"/>
          <w:sz w:val="24"/>
          <w:szCs w:val="24"/>
        </w:rPr>
        <w:t>3</w:t>
      </w:r>
      <w:r w:rsidRPr="007347D4">
        <w:rPr>
          <w:rFonts w:ascii="Times New Roman" w:hAnsi="Times New Roman" w:cs="Times New Roman"/>
          <w:sz w:val="24"/>
          <w:szCs w:val="24"/>
        </w:rPr>
        <w:t xml:space="preserve"> направить в администрацию </w:t>
      </w:r>
      <w:r w:rsidR="0042098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7347D4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  <w:proofErr w:type="gramStart"/>
      <w:r w:rsidRPr="007347D4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7347D4">
        <w:rPr>
          <w:rFonts w:ascii="Times New Roman" w:hAnsi="Times New Roman" w:cs="Times New Roman"/>
          <w:sz w:val="24"/>
          <w:szCs w:val="24"/>
        </w:rPr>
        <w:t xml:space="preserve"> сформированные перечни муниципального имущества (в том числе земельных участков) по форме согласно приложениям 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7347D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420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347D4">
        <w:rPr>
          <w:rFonts w:ascii="Times New Roman" w:hAnsi="Times New Roman" w:cs="Times New Roman"/>
          <w:sz w:val="24"/>
          <w:szCs w:val="24"/>
        </w:rPr>
        <w:t xml:space="preserve"> с приложением унифицированных форм бухгалтерского учета. </w:t>
      </w:r>
    </w:p>
    <w:p w:rsidR="00525562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420987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срок до 31.01.2022 направить в администрацию </w:t>
      </w:r>
      <w:r w:rsidR="00AA283E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сформированные перечни муниципального имущества (в том числе земельных участков) по формам согласно приложениям 1, 2, 3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7347D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января 2022 года</w:t>
      </w:r>
      <w:r w:rsidRPr="007347D4">
        <w:rPr>
          <w:rFonts w:ascii="Times New Roman" w:hAnsi="Times New Roman" w:cs="Times New Roman"/>
          <w:sz w:val="24"/>
          <w:szCs w:val="24"/>
        </w:rPr>
        <w:t xml:space="preserve"> с приложением унифицированных форм бухгалтерского учета.</w:t>
      </w:r>
    </w:p>
    <w:p w:rsidR="00525562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срок до 28.02.202</w:t>
      </w:r>
      <w:r w:rsidR="00A27738">
        <w:rPr>
          <w:rFonts w:ascii="Times New Roman" w:hAnsi="Times New Roman" w:cs="Times New Roman"/>
          <w:sz w:val="24"/>
          <w:szCs w:val="24"/>
        </w:rPr>
        <w:t>3</w:t>
      </w:r>
      <w:r w:rsidRPr="007347D4">
        <w:rPr>
          <w:rFonts w:ascii="Times New Roman" w:hAnsi="Times New Roman" w:cs="Times New Roman"/>
          <w:sz w:val="24"/>
          <w:szCs w:val="24"/>
        </w:rPr>
        <w:t>:</w:t>
      </w:r>
    </w:p>
    <w:p w:rsidR="00525562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7D4">
        <w:rPr>
          <w:rFonts w:ascii="Times New Roman" w:hAnsi="Times New Roman" w:cs="Times New Roman"/>
          <w:sz w:val="24"/>
          <w:szCs w:val="24"/>
        </w:rPr>
        <w:t xml:space="preserve">4.1. провести проверку на предмет достоверности сведений, содержащихся в перечнях муниципального имущества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Козловского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Семеновского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7738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7347D4">
        <w:rPr>
          <w:rFonts w:ascii="Times New Roman" w:hAnsi="Times New Roman" w:cs="Times New Roman"/>
          <w:sz w:val="24"/>
          <w:szCs w:val="24"/>
        </w:rPr>
        <w:t>;</w:t>
      </w:r>
    </w:p>
    <w:p w:rsidR="00525562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7D4">
        <w:rPr>
          <w:rFonts w:ascii="Times New Roman" w:hAnsi="Times New Roman" w:cs="Times New Roman"/>
          <w:sz w:val="24"/>
          <w:szCs w:val="24"/>
        </w:rPr>
        <w:t xml:space="preserve">4.2. сформировать единый реестр муниципального имущества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путем объединения перечней  муниципального имущества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Козловского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A27738">
        <w:rPr>
          <w:rFonts w:ascii="Times New Roman" w:hAnsi="Times New Roman" w:cs="Times New Roman"/>
          <w:sz w:val="24"/>
          <w:szCs w:val="24"/>
        </w:rPr>
        <w:t>Семеновского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7738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A27738" w:rsidRPr="007347D4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</w:t>
      </w:r>
      <w:r w:rsidR="00A2773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proofErr w:type="spellStart"/>
      <w:r w:rsidR="00A27738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738">
        <w:rPr>
          <w:rFonts w:ascii="Times New Roman" w:hAnsi="Times New Roman" w:cs="Times New Roman"/>
          <w:sz w:val="24"/>
          <w:szCs w:val="24"/>
        </w:rPr>
        <w:t>Порецкого</w:t>
      </w:r>
      <w:r w:rsidR="00A27738" w:rsidRPr="007347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734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738" w:rsidRPr="006C6371" w:rsidRDefault="00D12FB7" w:rsidP="0052556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>5.</w:t>
      </w:r>
      <w:r w:rsidR="00A27738" w:rsidRPr="006C637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</w:t>
      </w:r>
      <w:r w:rsidR="00925A06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на официальном сайте Порецкого района в сети «Интернет»</w:t>
      </w:r>
      <w:bookmarkStart w:id="0" w:name="_GoBack"/>
      <w:bookmarkEnd w:id="0"/>
      <w:r w:rsidR="00A27738" w:rsidRPr="006C6371">
        <w:rPr>
          <w:rFonts w:ascii="Times New Roman" w:hAnsi="Times New Roman" w:cs="Times New Roman"/>
          <w:sz w:val="24"/>
          <w:szCs w:val="24"/>
        </w:rPr>
        <w:t>.</w:t>
      </w:r>
    </w:p>
    <w:p w:rsidR="00124753" w:rsidRDefault="00124753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995" w:rsidRPr="00666995" w:rsidRDefault="00666995" w:rsidP="0066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995">
        <w:rPr>
          <w:rFonts w:ascii="Times New Roman" w:hAnsi="Times New Roman" w:cs="Times New Roman"/>
        </w:rPr>
        <w:t>Председатель Собрания депутатов</w:t>
      </w:r>
    </w:p>
    <w:p w:rsidR="00666995" w:rsidRPr="00666995" w:rsidRDefault="00666995" w:rsidP="0066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995">
        <w:rPr>
          <w:rFonts w:ascii="Times New Roman" w:hAnsi="Times New Roman" w:cs="Times New Roman"/>
        </w:rPr>
        <w:t xml:space="preserve">Порецкого муниципального округа </w:t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Pr="00666995">
        <w:rPr>
          <w:rFonts w:ascii="Times New Roman" w:hAnsi="Times New Roman" w:cs="Times New Roman"/>
        </w:rPr>
        <w:t xml:space="preserve"> Л.Г.Васильев</w:t>
      </w:r>
    </w:p>
    <w:p w:rsidR="00666995" w:rsidRPr="00666995" w:rsidRDefault="00666995" w:rsidP="00666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995" w:rsidRPr="00666995" w:rsidRDefault="00666995" w:rsidP="0066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995">
        <w:rPr>
          <w:rFonts w:ascii="Times New Roman" w:hAnsi="Times New Roman" w:cs="Times New Roman"/>
        </w:rPr>
        <w:t>Глава Порецкого муниципального округа</w:t>
      </w:r>
    </w:p>
    <w:p w:rsidR="00666995" w:rsidRPr="00666995" w:rsidRDefault="00666995" w:rsidP="0066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995">
        <w:rPr>
          <w:rFonts w:ascii="Times New Roman" w:hAnsi="Times New Roman" w:cs="Times New Roman"/>
        </w:rPr>
        <w:t>Чувашской Республики</w:t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</w:r>
      <w:r w:rsidRPr="00666995">
        <w:rPr>
          <w:rFonts w:ascii="Times New Roman" w:hAnsi="Times New Roman" w:cs="Times New Roman"/>
        </w:rPr>
        <w:tab/>
        <w:t xml:space="preserve">    Е.В. Лебедев</w:t>
      </w: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80" w:rsidRDefault="00F54F80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4F80" w:rsidSect="00BA2E06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Приложение 1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к решению Собрания депутатов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>Порецкого  муниципального округа</w:t>
      </w:r>
    </w:p>
    <w:p w:rsidR="00F54F80" w:rsidRPr="00F54F80" w:rsidRDefault="003B3864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от 20.12.2022 № 08/22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b/>
          <w:sz w:val="24"/>
          <w:lang w:eastAsia="en-US"/>
        </w:rPr>
        <w:t>Недвижимое муниципальное имущество</w:t>
      </w: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(нежилые здания, помещения, сооружения, жилой фонд, дороги, сети водопровода, сети газопровода, сети канализации, сети тепловые, сети электрические, бесхозяйное имущество и т.д.) </w:t>
      </w:r>
      <w:proofErr w:type="gramEnd"/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aa"/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992"/>
        <w:gridCol w:w="1276"/>
        <w:gridCol w:w="1275"/>
        <w:gridCol w:w="1276"/>
        <w:gridCol w:w="1418"/>
        <w:gridCol w:w="1275"/>
        <w:gridCol w:w="1560"/>
        <w:gridCol w:w="1559"/>
        <w:gridCol w:w="1417"/>
        <w:gridCol w:w="1843"/>
      </w:tblGrid>
      <w:tr w:rsidR="00F54F80" w:rsidRPr="00F54F80" w:rsidTr="00880C74">
        <w:trPr>
          <w:trHeight w:val="614"/>
        </w:trPr>
        <w:tc>
          <w:tcPr>
            <w:tcW w:w="56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   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объекта 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14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Кадастровая стоимость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документов оснований возникновения права муниципальной собственности  (при наличии)</w:t>
            </w:r>
          </w:p>
        </w:tc>
        <w:tc>
          <w:tcPr>
            <w:tcW w:w="141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о правообладателе недвижимого имущества</w:t>
            </w: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F54F80" w:rsidRPr="00F54F80" w:rsidTr="00880C74">
        <w:trPr>
          <w:trHeight w:val="291"/>
        </w:trPr>
        <w:tc>
          <w:tcPr>
            <w:tcW w:w="56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F54F80" w:rsidRPr="00F54F80" w:rsidTr="00880C74">
        <w:trPr>
          <w:trHeight w:val="546"/>
        </w:trPr>
        <w:tc>
          <w:tcPr>
            <w:tcW w:w="56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Default="00F54F80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Приложение 2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к решению Собрания депутатов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>Порецкого муниципального округа</w:t>
      </w:r>
    </w:p>
    <w:p w:rsidR="00F54F80" w:rsidRPr="00F54F80" w:rsidRDefault="003B3864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от 20.12.2021 № 08/22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b/>
          <w:sz w:val="24"/>
          <w:lang w:eastAsia="en-US"/>
        </w:rPr>
        <w:t xml:space="preserve">Движимое муниципальное имущество </w:t>
      </w: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aa"/>
        <w:tblW w:w="15026" w:type="dxa"/>
        <w:tblInd w:w="-176" w:type="dxa"/>
        <w:tblLayout w:type="fixed"/>
        <w:tblLook w:val="04A0"/>
      </w:tblPr>
      <w:tblGrid>
        <w:gridCol w:w="710"/>
        <w:gridCol w:w="1559"/>
        <w:gridCol w:w="1276"/>
        <w:gridCol w:w="1701"/>
        <w:gridCol w:w="1701"/>
        <w:gridCol w:w="1559"/>
        <w:gridCol w:w="1984"/>
        <w:gridCol w:w="1843"/>
        <w:gridCol w:w="2693"/>
      </w:tblGrid>
      <w:tr w:rsidR="00F54F80" w:rsidRPr="00F54F80" w:rsidTr="00880C74">
        <w:trPr>
          <w:trHeight w:val="614"/>
        </w:trPr>
        <w:tc>
          <w:tcPr>
            <w:tcW w:w="71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№    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п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Количество (шт.)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Балансовая стоимость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(руб.)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Остаточная стоимость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(руб.)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Дата возникновения права собственности </w:t>
            </w: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Реквизиты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документов оснований возникновения права муниципальной собственности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о правообладателе муниципального движимого имущества</w:t>
            </w: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об установленных в отношении муниципального движимого имущества ограничениях  (обременениях) основания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и дата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возникновения</w:t>
            </w:r>
          </w:p>
        </w:tc>
      </w:tr>
      <w:tr w:rsidR="00F54F80" w:rsidRPr="00F54F80" w:rsidTr="00880C74">
        <w:trPr>
          <w:trHeight w:val="291"/>
        </w:trPr>
        <w:tc>
          <w:tcPr>
            <w:tcW w:w="71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F54F80" w:rsidRPr="00F54F80" w:rsidTr="00880C74">
        <w:trPr>
          <w:trHeight w:val="546"/>
        </w:trPr>
        <w:tc>
          <w:tcPr>
            <w:tcW w:w="71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Default="00F54F80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Приложение 3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к решению Собрания депутатов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>Порецкого муниципального округа</w:t>
      </w:r>
    </w:p>
    <w:p w:rsidR="00F54F80" w:rsidRPr="00F54F80" w:rsidRDefault="003B3864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от 20.12.2021 № 08/22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b/>
          <w:sz w:val="24"/>
          <w:lang w:eastAsia="en-US"/>
        </w:rPr>
        <w:t>Земельные участки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aa"/>
        <w:tblW w:w="15593" w:type="dxa"/>
        <w:tblInd w:w="-176" w:type="dxa"/>
        <w:tblLayout w:type="fixed"/>
        <w:tblLook w:val="04A0"/>
      </w:tblPr>
      <w:tblGrid>
        <w:gridCol w:w="682"/>
        <w:gridCol w:w="1818"/>
        <w:gridCol w:w="1045"/>
        <w:gridCol w:w="1134"/>
        <w:gridCol w:w="1134"/>
        <w:gridCol w:w="1559"/>
        <w:gridCol w:w="1178"/>
        <w:gridCol w:w="1657"/>
        <w:gridCol w:w="1632"/>
        <w:gridCol w:w="1770"/>
        <w:gridCol w:w="1984"/>
      </w:tblGrid>
      <w:tr w:rsidR="00F54F80" w:rsidRPr="00F54F80" w:rsidTr="00880C74">
        <w:trPr>
          <w:trHeight w:val="646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№    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п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Наименование объекта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(категория земель, вид разрешенного использования)</w:t>
            </w:r>
          </w:p>
        </w:tc>
        <w:tc>
          <w:tcPr>
            <w:tcW w:w="104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Адрес (местоположение)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Кадастровый номер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(при наличии)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17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Кадастровая стоимость (руб.)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(при наличии)</w:t>
            </w:r>
          </w:p>
        </w:tc>
        <w:tc>
          <w:tcPr>
            <w:tcW w:w="165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3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Реквизиты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документов оснований возникновения права муниципальной собственности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(при наличии)</w:t>
            </w:r>
          </w:p>
        </w:tc>
        <w:tc>
          <w:tcPr>
            <w:tcW w:w="17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 правообладателе </w:t>
            </w: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F54F80" w:rsidRPr="00F54F80" w:rsidTr="00880C74">
        <w:trPr>
          <w:trHeight w:val="306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F54F80" w:rsidRPr="00F54F80" w:rsidTr="00880C74">
        <w:trPr>
          <w:trHeight w:val="574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Default="00F54F80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Приложение 4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к решению Собрания депутатов 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>Порецкого муниципального округа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sz w:val="24"/>
          <w:lang w:eastAsia="en-US"/>
        </w:rPr>
        <w:t xml:space="preserve"> от 20.12.2021 № </w:t>
      </w:r>
      <w:r w:rsidR="003B3864">
        <w:rPr>
          <w:rFonts w:ascii="Times New Roman" w:eastAsia="Calibri" w:hAnsi="Times New Roman" w:cs="Times New Roman"/>
          <w:sz w:val="24"/>
          <w:lang w:eastAsia="en-US"/>
        </w:rPr>
        <w:t>08/22</w:t>
      </w:r>
    </w:p>
    <w:p w:rsidR="00F54F80" w:rsidRPr="00F54F80" w:rsidRDefault="00F54F80" w:rsidP="00F54F80">
      <w:pPr>
        <w:spacing w:after="0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54F80">
        <w:rPr>
          <w:rFonts w:ascii="Times New Roman" w:eastAsia="Calibri" w:hAnsi="Times New Roman" w:cs="Times New Roman"/>
          <w:b/>
          <w:sz w:val="24"/>
          <w:lang w:eastAsia="en-US"/>
        </w:rPr>
        <w:t xml:space="preserve">Доля в праве на земельные участки из земель сельскохозяйственного назначения </w:t>
      </w:r>
    </w:p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Style w:val="aa"/>
        <w:tblW w:w="15310" w:type="dxa"/>
        <w:tblInd w:w="-176" w:type="dxa"/>
        <w:tblLayout w:type="fixed"/>
        <w:tblLook w:val="04A0"/>
      </w:tblPr>
      <w:tblGrid>
        <w:gridCol w:w="682"/>
        <w:gridCol w:w="1818"/>
        <w:gridCol w:w="1470"/>
        <w:gridCol w:w="1134"/>
        <w:gridCol w:w="1276"/>
        <w:gridCol w:w="1701"/>
        <w:gridCol w:w="2835"/>
        <w:gridCol w:w="1701"/>
        <w:gridCol w:w="2693"/>
      </w:tblGrid>
      <w:tr w:rsidR="00F54F80" w:rsidRPr="00F54F80" w:rsidTr="00880C74">
        <w:trPr>
          <w:trHeight w:val="646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№    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п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Наименование объекта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(категория земель, вид разрешенного использования)</w:t>
            </w:r>
          </w:p>
        </w:tc>
        <w:tc>
          <w:tcPr>
            <w:tcW w:w="14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Адрес (местоположение)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Кадастровый номер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Размер доли в праве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Дата возникновения права муниципальной собственности доли в праве</w:t>
            </w:r>
          </w:p>
        </w:tc>
        <w:tc>
          <w:tcPr>
            <w:tcW w:w="283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Реквизиты </w:t>
            </w: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документов оснований возникновения права муниципальной собственности</w:t>
            </w:r>
            <w:proofErr w:type="gramEnd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>о правообладателе</w:t>
            </w:r>
          </w:p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доли в праве </w:t>
            </w: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F54F8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F54F80" w:rsidRPr="00F54F80" w:rsidTr="00880C74">
        <w:trPr>
          <w:trHeight w:val="306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F8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F54F80" w:rsidRPr="00F54F80" w:rsidTr="00880C74">
        <w:trPr>
          <w:trHeight w:val="574"/>
        </w:trPr>
        <w:tc>
          <w:tcPr>
            <w:tcW w:w="682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54F80" w:rsidRPr="00F54F80" w:rsidRDefault="00F54F80" w:rsidP="00F54F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54F80" w:rsidRPr="00F54F80" w:rsidRDefault="00F54F80" w:rsidP="00F54F80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04F6" w:rsidSect="003C02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32"/>
    <w:rsid w:val="00012BC0"/>
    <w:rsid w:val="00051A2E"/>
    <w:rsid w:val="00051DD6"/>
    <w:rsid w:val="00052DAA"/>
    <w:rsid w:val="000F4C6D"/>
    <w:rsid w:val="00104EFC"/>
    <w:rsid w:val="00124753"/>
    <w:rsid w:val="001501CB"/>
    <w:rsid w:val="001611B5"/>
    <w:rsid w:val="001B2220"/>
    <w:rsid w:val="001C3F76"/>
    <w:rsid w:val="001C68BD"/>
    <w:rsid w:val="001D2A2C"/>
    <w:rsid w:val="001D4C2C"/>
    <w:rsid w:val="001D4F03"/>
    <w:rsid w:val="001E651A"/>
    <w:rsid w:val="0021026D"/>
    <w:rsid w:val="002274CD"/>
    <w:rsid w:val="00244D45"/>
    <w:rsid w:val="00247829"/>
    <w:rsid w:val="00284E0F"/>
    <w:rsid w:val="0029114D"/>
    <w:rsid w:val="00336BA4"/>
    <w:rsid w:val="00347902"/>
    <w:rsid w:val="00350C75"/>
    <w:rsid w:val="003A19A4"/>
    <w:rsid w:val="003A1AC1"/>
    <w:rsid w:val="003A6AFD"/>
    <w:rsid w:val="003B3864"/>
    <w:rsid w:val="003F3E1E"/>
    <w:rsid w:val="0040124C"/>
    <w:rsid w:val="00420987"/>
    <w:rsid w:val="00452732"/>
    <w:rsid w:val="00480B58"/>
    <w:rsid w:val="00486E74"/>
    <w:rsid w:val="004A62D1"/>
    <w:rsid w:val="004C031C"/>
    <w:rsid w:val="004C093F"/>
    <w:rsid w:val="00521AC0"/>
    <w:rsid w:val="00525562"/>
    <w:rsid w:val="005357F4"/>
    <w:rsid w:val="00574818"/>
    <w:rsid w:val="005A1EAF"/>
    <w:rsid w:val="005B26AA"/>
    <w:rsid w:val="005C3361"/>
    <w:rsid w:val="005C5A13"/>
    <w:rsid w:val="00606D81"/>
    <w:rsid w:val="00666995"/>
    <w:rsid w:val="006744EA"/>
    <w:rsid w:val="0067498D"/>
    <w:rsid w:val="00681483"/>
    <w:rsid w:val="006834CF"/>
    <w:rsid w:val="006975B5"/>
    <w:rsid w:val="006C6371"/>
    <w:rsid w:val="006D5650"/>
    <w:rsid w:val="006F79E9"/>
    <w:rsid w:val="00716869"/>
    <w:rsid w:val="0078094A"/>
    <w:rsid w:val="0079572F"/>
    <w:rsid w:val="007A1204"/>
    <w:rsid w:val="007B532E"/>
    <w:rsid w:val="007B6EC5"/>
    <w:rsid w:val="007C3721"/>
    <w:rsid w:val="007D1418"/>
    <w:rsid w:val="007D490D"/>
    <w:rsid w:val="00802CA3"/>
    <w:rsid w:val="00835F02"/>
    <w:rsid w:val="008E017B"/>
    <w:rsid w:val="00907D54"/>
    <w:rsid w:val="00907E1D"/>
    <w:rsid w:val="00911548"/>
    <w:rsid w:val="00925A06"/>
    <w:rsid w:val="00936DC8"/>
    <w:rsid w:val="00981C90"/>
    <w:rsid w:val="00985730"/>
    <w:rsid w:val="009A2F95"/>
    <w:rsid w:val="009B4ED8"/>
    <w:rsid w:val="009C0042"/>
    <w:rsid w:val="009C069A"/>
    <w:rsid w:val="009C1A78"/>
    <w:rsid w:val="009D0A15"/>
    <w:rsid w:val="009F51D7"/>
    <w:rsid w:val="00A27738"/>
    <w:rsid w:val="00A6620D"/>
    <w:rsid w:val="00AA283E"/>
    <w:rsid w:val="00AD2491"/>
    <w:rsid w:val="00B24C63"/>
    <w:rsid w:val="00B410EB"/>
    <w:rsid w:val="00B56989"/>
    <w:rsid w:val="00B96AFD"/>
    <w:rsid w:val="00BA2E06"/>
    <w:rsid w:val="00BB23D5"/>
    <w:rsid w:val="00BC287C"/>
    <w:rsid w:val="00BF4367"/>
    <w:rsid w:val="00BF6739"/>
    <w:rsid w:val="00C10982"/>
    <w:rsid w:val="00C2524C"/>
    <w:rsid w:val="00C267A7"/>
    <w:rsid w:val="00C42E70"/>
    <w:rsid w:val="00C55670"/>
    <w:rsid w:val="00C83047"/>
    <w:rsid w:val="00C94FC4"/>
    <w:rsid w:val="00CB780E"/>
    <w:rsid w:val="00D12FB7"/>
    <w:rsid w:val="00D65CD6"/>
    <w:rsid w:val="00D706EC"/>
    <w:rsid w:val="00DB1199"/>
    <w:rsid w:val="00DC58EC"/>
    <w:rsid w:val="00DD03D9"/>
    <w:rsid w:val="00DF0574"/>
    <w:rsid w:val="00DF20FF"/>
    <w:rsid w:val="00E05BED"/>
    <w:rsid w:val="00E67E76"/>
    <w:rsid w:val="00E96386"/>
    <w:rsid w:val="00ED1996"/>
    <w:rsid w:val="00F204F6"/>
    <w:rsid w:val="00F41E77"/>
    <w:rsid w:val="00F54F80"/>
    <w:rsid w:val="00F72C03"/>
    <w:rsid w:val="00FA7BC2"/>
    <w:rsid w:val="00FF51B3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F204F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D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SED-Porezk</cp:lastModifiedBy>
  <cp:revision>13</cp:revision>
  <cp:lastPrinted>2022-12-20T10:33:00Z</cp:lastPrinted>
  <dcterms:created xsi:type="dcterms:W3CDTF">2022-12-12T14:09:00Z</dcterms:created>
  <dcterms:modified xsi:type="dcterms:W3CDTF">2022-12-20T10:34:00Z</dcterms:modified>
</cp:coreProperties>
</file>