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4"/>
        <w:gridCol w:w="1173"/>
        <w:gridCol w:w="4202"/>
      </w:tblGrid>
      <w:tr w:rsidR="004E2622" w:rsidRPr="004E2622" w:rsidTr="001278AA">
        <w:trPr>
          <w:cantSplit/>
          <w:trHeight w:val="253"/>
        </w:trPr>
        <w:tc>
          <w:tcPr>
            <w:tcW w:w="4195" w:type="dxa"/>
            <w:hideMark/>
          </w:tcPr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AE5F114" wp14:editId="125E72D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ЧУВАШСКАЯ РЕСПУБЛИКА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622" w:rsidRPr="004E2622" w:rsidTr="001278AA">
        <w:trPr>
          <w:cantSplit/>
          <w:trHeight w:val="1617"/>
        </w:trPr>
        <w:tc>
          <w:tcPr>
            <w:tcW w:w="4195" w:type="dxa"/>
          </w:tcPr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ÇĚМĚРЛЕ МУНИЦИПАЛЛĂ</w:t>
            </w:r>
          </w:p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ОКРУГĔН </w:t>
            </w:r>
          </w:p>
          <w:p w:rsidR="004E2622" w:rsidRPr="004E2622" w:rsidRDefault="004E2622" w:rsidP="004E2622">
            <w:pPr>
              <w:pStyle w:val="a8"/>
              <w:tabs>
                <w:tab w:val="left" w:pos="4285"/>
              </w:tabs>
              <w:contextualSpacing/>
              <w:jc w:val="center"/>
              <w:rPr>
                <w:rStyle w:val="a9"/>
                <w:rFonts w:ascii="Times New Roman" w:hAnsi="Times New Roman" w:cs="Times New Roman"/>
                <w:color w:val="000000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___.___.202__ _____ № 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Çě</w:t>
            </w:r>
            <w:proofErr w:type="gramStart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4E2622">
              <w:rPr>
                <w:rFonts w:ascii="Times New Roman" w:hAnsi="Times New Roman" w:cs="Times New Roman"/>
                <w:bCs/>
                <w:sz w:val="24"/>
                <w:szCs w:val="24"/>
              </w:rPr>
              <w:t>ěрле</w:t>
            </w:r>
            <w:proofErr w:type="spellEnd"/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2622" w:rsidRPr="004E2622" w:rsidRDefault="004E2622" w:rsidP="004E2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4E2622" w:rsidRPr="004E2622" w:rsidRDefault="004E2622" w:rsidP="004E2622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 w:rsidRPr="004E262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ШУМЕРЛИНСКОГО МУНИЦИПАЛЬНОГО ОКРУГА</w:t>
            </w:r>
            <w:r w:rsidRPr="004E2622"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  <w:p w:rsidR="004E2622" w:rsidRPr="004E2622" w:rsidRDefault="004E2622" w:rsidP="004E2622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</w:rPr>
            </w:pP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___.___.202__ № _____ </w:t>
            </w:r>
          </w:p>
          <w:p w:rsidR="004E2622" w:rsidRPr="004E2622" w:rsidRDefault="004E2622" w:rsidP="004E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22">
              <w:rPr>
                <w:rFonts w:ascii="Times New Roman" w:hAnsi="Times New Roman" w:cs="Times New Roman"/>
                <w:sz w:val="24"/>
                <w:szCs w:val="24"/>
              </w:rPr>
              <w:t xml:space="preserve">  г. Шумерля</w:t>
            </w:r>
          </w:p>
          <w:p w:rsidR="004E2622" w:rsidRPr="004E2622" w:rsidRDefault="004E2622" w:rsidP="004E2622">
            <w:pPr>
              <w:pStyle w:val="a8"/>
              <w:ind w:right="-35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framePr w:w="7037" w:h="1134" w:hSpace="141" w:wrap="around" w:vAnchor="text" w:hAnchor="page" w:x="1150" w:y="256"/>
        <w:spacing w:after="0" w:line="240" w:lineRule="auto"/>
        <w:ind w:left="2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Об утверждении перечня отдельных видов товаров, работ, услуг, закупаемых администрацией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ей казенными и бюджетными учреждениями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proofErr w:type="gramEnd"/>
    </w:p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4E262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="004B71DE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4E262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71DE">
        <w:rPr>
          <w:rFonts w:ascii="Times New Roman" w:hAnsi="Times New Roman" w:cs="Times New Roman"/>
          <w:sz w:val="24"/>
          <w:szCs w:val="24"/>
        </w:rPr>
        <w:t>»</w:t>
      </w:r>
      <w:r w:rsidRPr="004E262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29 декабря 2022 № 1095 «Об утверждении Правил определения требований к закупаемым муниципальными органами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указанным органам казенными учреждениями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бюджетными учреждениями</w:t>
      </w:r>
      <w:proofErr w:type="gramEnd"/>
      <w:r w:rsidRPr="004E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отдельным видам товаров, работ, услуг (в том числе предельных цен товаров, работ, услуг)»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постановляет: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отдельных видов товаров, работ, услуг, закупаемых администрацией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ей казенными и бюджетными учреждениями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– Перечень).</w:t>
      </w:r>
      <w:bookmarkStart w:id="0" w:name="P21"/>
      <w:bookmarkStart w:id="1" w:name="P22"/>
      <w:bookmarkEnd w:id="0"/>
      <w:bookmarkEnd w:id="1"/>
      <w:proofErr w:type="gramEnd"/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Требования к закупаемым администрацией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подведомственными ей казенными и бюджетными учреждениями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муниципальными унитарными предприятиями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отдельным видам товаров, работ, услуг (в том числе предельные </w:t>
      </w:r>
      <w:r w:rsidRPr="004E2622">
        <w:rPr>
          <w:rFonts w:ascii="Times New Roman" w:hAnsi="Times New Roman" w:cs="Times New Roman"/>
          <w:sz w:val="24"/>
          <w:szCs w:val="24"/>
        </w:rPr>
        <w:lastRenderedPageBreak/>
        <w:t xml:space="preserve">цены товаров, работ, услуг) утверждаются администрацией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форме Перечня.</w:t>
      </w:r>
      <w:proofErr w:type="gramEnd"/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3. Требования к отдельным видам товаров, работ, услуг (в том числе предельные цены товаров, работ, услуг) применяются следующими заказчиками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Республики:</w:t>
      </w: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"Информационно-ресурсный центр культуры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округа";</w:t>
      </w:r>
    </w:p>
    <w:p w:rsidR="004E2622" w:rsidRPr="004E2622" w:rsidRDefault="004E2622" w:rsidP="004E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"Централизованная система библиотечного и архивного дела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округа";</w:t>
      </w:r>
    </w:p>
    <w:p w:rsidR="004E2622" w:rsidRPr="004E2622" w:rsidRDefault="004E2622" w:rsidP="004E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"Центр финансово-хозяйственного обеспечения"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:rsidR="004E2622" w:rsidRPr="004E2622" w:rsidRDefault="004E2622" w:rsidP="004E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Юманайское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хозяйство»;</w:t>
      </w:r>
    </w:p>
    <w:p w:rsidR="004E2622" w:rsidRPr="004E2622" w:rsidRDefault="004E2622" w:rsidP="004E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Агрохимсервис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>».</w:t>
      </w: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4E2622" w:rsidRPr="004E2622" w:rsidRDefault="004E2622" w:rsidP="004E26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262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24.10.2018 № 593 «О</w:t>
      </w:r>
      <w:r w:rsidRPr="004E2622">
        <w:rPr>
          <w:rFonts w:ascii="Times New Roman" w:hAnsi="Times New Roman" w:cs="Times New Roman"/>
          <w:bCs/>
          <w:sz w:val="24"/>
          <w:szCs w:val="24"/>
        </w:rPr>
        <w:t xml:space="preserve">б утверждении перечня отдельных видов товаров, работ, услуг, закупаемых администрацией </w:t>
      </w:r>
      <w:proofErr w:type="spellStart"/>
      <w:r w:rsidRPr="004E262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bCs/>
          <w:sz w:val="24"/>
          <w:szCs w:val="24"/>
        </w:rPr>
        <w:t xml:space="preserve"> района, подведомственными ей казенными и бюджетными учреждениями </w:t>
      </w:r>
      <w:proofErr w:type="spellStart"/>
      <w:r w:rsidRPr="004E262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bCs/>
          <w:sz w:val="24"/>
          <w:szCs w:val="24"/>
        </w:rPr>
        <w:t xml:space="preserve"> района и муниципальными унитарными предприятиями </w:t>
      </w:r>
      <w:proofErr w:type="spellStart"/>
      <w:r w:rsidRPr="004E262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bCs/>
          <w:sz w:val="24"/>
          <w:szCs w:val="24"/>
        </w:rPr>
        <w:t xml:space="preserve"> района,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услуг)»;</w:t>
      </w:r>
      <w:proofErr w:type="gramEnd"/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bCs/>
          <w:sz w:val="24"/>
          <w:szCs w:val="24"/>
        </w:rPr>
        <w:tab/>
      </w:r>
      <w:r w:rsidRPr="004E262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26.03.2019 № 224 «О внесении изменений в постановление администрации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района от 24.10.2018 № 593».</w:t>
      </w:r>
    </w:p>
    <w:p w:rsidR="004E2622" w:rsidRPr="004E2622" w:rsidRDefault="004E2622" w:rsidP="004E2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E262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в единой информационной системе в сфере закупок в информационно-телекоммуникационной сети «Интернет».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       </w:t>
      </w:r>
    </w:p>
    <w:p w:rsidR="004E2622" w:rsidRPr="004E2622" w:rsidRDefault="004E2622" w:rsidP="004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22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</w:t>
      </w:r>
      <w:proofErr w:type="spellStart"/>
      <w:r w:rsidRPr="004E2622">
        <w:rPr>
          <w:rFonts w:ascii="Times New Roman" w:hAnsi="Times New Roman" w:cs="Times New Roman"/>
          <w:sz w:val="24"/>
          <w:szCs w:val="24"/>
        </w:rPr>
        <w:t>Л.Г.Рафинов</w:t>
      </w:r>
      <w:proofErr w:type="spellEnd"/>
    </w:p>
    <w:p w:rsidR="004E2622" w:rsidRPr="004E2622" w:rsidRDefault="004E2622" w:rsidP="004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22" w:rsidRDefault="004E2622" w:rsidP="004E2622">
      <w:pPr>
        <w:sectPr w:rsidR="004E2622" w:rsidSect="004E2622">
          <w:pgSz w:w="11905" w:h="16838"/>
          <w:pgMar w:top="1559" w:right="1701" w:bottom="1134" w:left="851" w:header="0" w:footer="0" w:gutter="0"/>
          <w:cols w:space="720"/>
          <w:docGrid w:linePitch="299"/>
        </w:sectPr>
      </w:pPr>
    </w:p>
    <w:p w:rsidR="00CB1895" w:rsidRPr="003D451C" w:rsidRDefault="00772E46" w:rsidP="003D451C">
      <w:pPr>
        <w:pStyle w:val="ConsPlusNormal"/>
        <w:ind w:left="-142" w:firstLine="11341"/>
        <w:jc w:val="right"/>
        <w:rPr>
          <w:rFonts w:ascii="Times New Roman" w:hAnsi="Times New Roman" w:cs="Times New Roman"/>
          <w:sz w:val="18"/>
          <w:szCs w:val="18"/>
        </w:rPr>
      </w:pPr>
      <w:r w:rsidRPr="003D451C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772E46" w:rsidRPr="003D451C" w:rsidRDefault="00241F51" w:rsidP="003D451C">
      <w:pPr>
        <w:pStyle w:val="ConsPlusNormal"/>
        <w:ind w:left="-142" w:firstLine="11341"/>
        <w:jc w:val="right"/>
        <w:rPr>
          <w:rFonts w:ascii="Times New Roman" w:hAnsi="Times New Roman" w:cs="Times New Roman"/>
          <w:sz w:val="18"/>
          <w:szCs w:val="18"/>
        </w:rPr>
      </w:pPr>
      <w:r w:rsidRPr="003D451C">
        <w:rPr>
          <w:rFonts w:ascii="Times New Roman" w:hAnsi="Times New Roman" w:cs="Times New Roman"/>
          <w:sz w:val="18"/>
          <w:szCs w:val="18"/>
        </w:rPr>
        <w:t>постановлением ад</w:t>
      </w:r>
      <w:r w:rsidR="007070F1" w:rsidRPr="003D451C">
        <w:rPr>
          <w:rFonts w:ascii="Times New Roman" w:hAnsi="Times New Roman" w:cs="Times New Roman"/>
          <w:sz w:val="18"/>
          <w:szCs w:val="18"/>
        </w:rPr>
        <w:t xml:space="preserve">министрации </w:t>
      </w:r>
      <w:proofErr w:type="spellStart"/>
      <w:r w:rsidR="007070F1" w:rsidRPr="003D451C">
        <w:rPr>
          <w:rFonts w:ascii="Times New Roman" w:hAnsi="Times New Roman" w:cs="Times New Roman"/>
          <w:sz w:val="18"/>
          <w:szCs w:val="18"/>
        </w:rPr>
        <w:t>Шумерлинского</w:t>
      </w:r>
      <w:proofErr w:type="spellEnd"/>
      <w:r w:rsidR="007070F1" w:rsidRPr="003D451C">
        <w:rPr>
          <w:rFonts w:ascii="Times New Roman" w:hAnsi="Times New Roman" w:cs="Times New Roman"/>
          <w:sz w:val="18"/>
          <w:szCs w:val="18"/>
        </w:rPr>
        <w:t xml:space="preserve"> муниципального округа</w:t>
      </w:r>
    </w:p>
    <w:p w:rsidR="008D1F4F" w:rsidRPr="003D451C" w:rsidRDefault="00241F51" w:rsidP="003D451C">
      <w:pPr>
        <w:pStyle w:val="ConsPlusNormal"/>
        <w:ind w:left="-142" w:firstLine="11341"/>
        <w:jc w:val="right"/>
        <w:rPr>
          <w:rFonts w:ascii="Times New Roman" w:hAnsi="Times New Roman" w:cs="Times New Roman"/>
          <w:sz w:val="18"/>
          <w:szCs w:val="18"/>
        </w:rPr>
      </w:pPr>
      <w:r w:rsidRPr="003D451C">
        <w:rPr>
          <w:rFonts w:ascii="Times New Roman" w:hAnsi="Times New Roman" w:cs="Times New Roman"/>
          <w:sz w:val="18"/>
          <w:szCs w:val="18"/>
        </w:rPr>
        <w:t xml:space="preserve"> от ___</w:t>
      </w:r>
      <w:r w:rsidR="00836729" w:rsidRPr="003D451C">
        <w:rPr>
          <w:rFonts w:ascii="Times New Roman" w:hAnsi="Times New Roman" w:cs="Times New Roman"/>
          <w:sz w:val="18"/>
          <w:szCs w:val="18"/>
        </w:rPr>
        <w:t>.</w:t>
      </w:r>
      <w:r w:rsidRPr="003D451C">
        <w:rPr>
          <w:rFonts w:ascii="Times New Roman" w:hAnsi="Times New Roman" w:cs="Times New Roman"/>
          <w:sz w:val="18"/>
          <w:szCs w:val="18"/>
        </w:rPr>
        <w:t>___</w:t>
      </w:r>
      <w:r w:rsidR="00836729" w:rsidRPr="003D451C">
        <w:rPr>
          <w:rFonts w:ascii="Times New Roman" w:hAnsi="Times New Roman" w:cs="Times New Roman"/>
          <w:sz w:val="18"/>
          <w:szCs w:val="18"/>
        </w:rPr>
        <w:t>.</w:t>
      </w:r>
      <w:r w:rsidR="007070F1" w:rsidRPr="003D451C">
        <w:rPr>
          <w:rFonts w:ascii="Times New Roman" w:hAnsi="Times New Roman" w:cs="Times New Roman"/>
          <w:sz w:val="18"/>
          <w:szCs w:val="18"/>
        </w:rPr>
        <w:t>2022</w:t>
      </w:r>
      <w:r w:rsidR="00D038D4" w:rsidRPr="003D451C">
        <w:rPr>
          <w:rFonts w:ascii="Times New Roman" w:hAnsi="Times New Roman" w:cs="Times New Roman"/>
          <w:sz w:val="18"/>
          <w:szCs w:val="18"/>
        </w:rPr>
        <w:t xml:space="preserve"> г.  </w:t>
      </w:r>
      <w:r w:rsidR="008D1F4F" w:rsidRPr="003D451C">
        <w:rPr>
          <w:rFonts w:ascii="Times New Roman" w:hAnsi="Times New Roman" w:cs="Times New Roman"/>
          <w:sz w:val="18"/>
          <w:szCs w:val="18"/>
        </w:rPr>
        <w:t>№</w:t>
      </w:r>
      <w:r w:rsidRPr="003D451C">
        <w:rPr>
          <w:rFonts w:ascii="Times New Roman" w:hAnsi="Times New Roman" w:cs="Times New Roman"/>
          <w:sz w:val="18"/>
          <w:szCs w:val="18"/>
        </w:rPr>
        <w:t xml:space="preserve"> ____</w:t>
      </w:r>
    </w:p>
    <w:p w:rsidR="008D1F4F" w:rsidRPr="003D451C" w:rsidRDefault="008D1F4F" w:rsidP="003D451C">
      <w:pPr>
        <w:pStyle w:val="ConsPlusNormal"/>
        <w:ind w:left="426" w:right="-711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B1895" w:rsidRPr="003D451C" w:rsidRDefault="00CB1895" w:rsidP="003D451C">
      <w:pPr>
        <w:pStyle w:val="ConsPlusNormal"/>
        <w:ind w:left="-142" w:firstLine="8506"/>
        <w:jc w:val="both"/>
        <w:rPr>
          <w:rFonts w:ascii="Times New Roman" w:hAnsi="Times New Roman" w:cs="Times New Roman"/>
          <w:sz w:val="18"/>
          <w:szCs w:val="18"/>
        </w:rPr>
      </w:pPr>
    </w:p>
    <w:p w:rsidR="00080552" w:rsidRPr="003D451C" w:rsidRDefault="00080552" w:rsidP="003D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3D451C">
        <w:rPr>
          <w:rFonts w:ascii="Times New Roman" w:eastAsia="Times New Roman" w:hAnsi="Times New Roman" w:cs="Times New Roman"/>
          <w:b/>
          <w:sz w:val="16"/>
          <w:szCs w:val="16"/>
        </w:rPr>
        <w:t>П</w:t>
      </w:r>
      <w:proofErr w:type="gramEnd"/>
      <w:r w:rsidRPr="003D451C">
        <w:rPr>
          <w:rFonts w:ascii="Times New Roman" w:eastAsia="Times New Roman" w:hAnsi="Times New Roman" w:cs="Times New Roman"/>
          <w:b/>
          <w:sz w:val="16"/>
          <w:szCs w:val="16"/>
        </w:rPr>
        <w:t xml:space="preserve"> Е Р Е Ч Е Н Ь</w:t>
      </w:r>
    </w:p>
    <w:p w:rsidR="00080552" w:rsidRPr="003D451C" w:rsidRDefault="00080552" w:rsidP="003D451C">
      <w:pPr>
        <w:pStyle w:val="ConsPlusTitle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3D451C">
        <w:rPr>
          <w:rFonts w:ascii="Times New Roman" w:hAnsi="Times New Roman" w:cs="Times New Roman"/>
          <w:b w:val="0"/>
          <w:sz w:val="16"/>
          <w:szCs w:val="16"/>
        </w:rPr>
        <w:t xml:space="preserve">отдельных видов товаров, работ, услуг, </w:t>
      </w:r>
      <w:r w:rsidR="00BE5856" w:rsidRPr="003D451C">
        <w:rPr>
          <w:rFonts w:ascii="Times New Roman" w:hAnsi="Times New Roman" w:cs="Times New Roman"/>
          <w:b w:val="0"/>
          <w:sz w:val="16"/>
          <w:szCs w:val="16"/>
        </w:rPr>
        <w:t xml:space="preserve">закупаемых </w:t>
      </w:r>
      <w:r w:rsidR="00241F51" w:rsidRPr="003D451C">
        <w:rPr>
          <w:rFonts w:ascii="Times New Roman" w:hAnsi="Times New Roman" w:cs="Times New Roman"/>
          <w:b w:val="0"/>
          <w:sz w:val="16"/>
          <w:szCs w:val="16"/>
        </w:rPr>
        <w:t>админ</w:t>
      </w:r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 xml:space="preserve">истрацией </w:t>
      </w:r>
      <w:proofErr w:type="spellStart"/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>Шумерлинского</w:t>
      </w:r>
      <w:proofErr w:type="spellEnd"/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70F1" w:rsidRPr="003D451C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округа Чувашской </w:t>
      </w:r>
      <w:proofErr w:type="spellStart"/>
      <w:r w:rsidR="007070F1" w:rsidRPr="003D451C">
        <w:rPr>
          <w:rFonts w:ascii="Times New Roman" w:hAnsi="Times New Roman" w:cs="Times New Roman"/>
          <w:b w:val="0"/>
          <w:sz w:val="16"/>
          <w:szCs w:val="16"/>
        </w:rPr>
        <w:t>Ресспублики</w:t>
      </w:r>
      <w:proofErr w:type="spellEnd"/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>,</w:t>
      </w:r>
      <w:r w:rsidR="00241F51" w:rsidRPr="003D451C">
        <w:rPr>
          <w:rFonts w:ascii="Times New Roman" w:hAnsi="Times New Roman" w:cs="Times New Roman"/>
          <w:b w:val="0"/>
          <w:sz w:val="16"/>
          <w:szCs w:val="16"/>
        </w:rPr>
        <w:t xml:space="preserve"> подведомственными ей казенными и бюджетными учреждениями </w:t>
      </w:r>
      <w:proofErr w:type="spellStart"/>
      <w:r w:rsidR="00241F51" w:rsidRPr="003D451C">
        <w:rPr>
          <w:rFonts w:ascii="Times New Roman" w:hAnsi="Times New Roman" w:cs="Times New Roman"/>
          <w:b w:val="0"/>
          <w:sz w:val="16"/>
          <w:szCs w:val="16"/>
        </w:rPr>
        <w:t>Шумерлинского</w:t>
      </w:r>
      <w:proofErr w:type="spellEnd"/>
      <w:r w:rsidR="00241F51" w:rsidRPr="003D451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70F1" w:rsidRPr="003D451C">
        <w:rPr>
          <w:rFonts w:ascii="Times New Roman" w:hAnsi="Times New Roman" w:cs="Times New Roman"/>
          <w:b w:val="0"/>
          <w:sz w:val="16"/>
          <w:szCs w:val="16"/>
        </w:rPr>
        <w:t>муниципального округа Чувашской Республики</w:t>
      </w:r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 xml:space="preserve"> и муниципальными унитарными предприятиями </w:t>
      </w:r>
      <w:proofErr w:type="spellStart"/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>Шумерлинского</w:t>
      </w:r>
      <w:proofErr w:type="spellEnd"/>
      <w:r w:rsidR="00117D38" w:rsidRPr="003D451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70F1" w:rsidRPr="003D451C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округа Чувашской </w:t>
      </w:r>
      <w:proofErr w:type="gramStart"/>
      <w:r w:rsidR="007070F1" w:rsidRPr="003D451C">
        <w:rPr>
          <w:rFonts w:ascii="Times New Roman" w:hAnsi="Times New Roman" w:cs="Times New Roman"/>
          <w:b w:val="0"/>
          <w:sz w:val="16"/>
          <w:szCs w:val="16"/>
        </w:rPr>
        <w:t>Республики</w:t>
      </w:r>
      <w:proofErr w:type="gramEnd"/>
      <w:r w:rsidR="00BE5856" w:rsidRPr="003D451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в отношении которых определяются требования к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 xml:space="preserve"> потребительски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м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 xml:space="preserve"> свойства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м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 xml:space="preserve"> (в том числе 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 xml:space="preserve">к 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>качеств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у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>) и ины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м</w:t>
      </w:r>
      <w:r w:rsidRPr="003D451C">
        <w:rPr>
          <w:rFonts w:ascii="Times New Roman" w:hAnsi="Times New Roman" w:cs="Times New Roman"/>
          <w:b w:val="0"/>
          <w:sz w:val="16"/>
          <w:szCs w:val="16"/>
        </w:rPr>
        <w:t xml:space="preserve"> характеристик</w:t>
      </w:r>
      <w:r w:rsidR="004E4FA8" w:rsidRPr="003D451C">
        <w:rPr>
          <w:rFonts w:ascii="Times New Roman" w:hAnsi="Times New Roman" w:cs="Times New Roman"/>
          <w:b w:val="0"/>
          <w:sz w:val="16"/>
          <w:szCs w:val="16"/>
        </w:rPr>
        <w:t>ам (в том числе предельные цены товаров, работ, услуг).</w:t>
      </w:r>
    </w:p>
    <w:p w:rsidR="00080552" w:rsidRPr="003D451C" w:rsidRDefault="00080552" w:rsidP="003D4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72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77"/>
        <w:gridCol w:w="727"/>
        <w:gridCol w:w="2152"/>
        <w:gridCol w:w="1150"/>
        <w:gridCol w:w="721"/>
        <w:gridCol w:w="2152"/>
        <w:gridCol w:w="1150"/>
        <w:gridCol w:w="2011"/>
        <w:gridCol w:w="2152"/>
        <w:gridCol w:w="1438"/>
        <w:gridCol w:w="1723"/>
        <w:gridCol w:w="147"/>
      </w:tblGrid>
      <w:tr w:rsidR="003D451C" w:rsidRPr="003D451C" w:rsidTr="000F5F83">
        <w:trPr>
          <w:gridAfter w:val="1"/>
          <w:wAfter w:w="45" w:type="pct"/>
          <w:trHeight w:val="20"/>
        </w:trPr>
        <w:tc>
          <w:tcPr>
            <w:tcW w:w="17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07" w:type="pct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792AA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57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0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41782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адм</w:t>
            </w:r>
            <w:r w:rsidR="007070F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инистрацией </w:t>
            </w:r>
            <w:proofErr w:type="spellStart"/>
            <w:r w:rsidR="007070F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7070F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2236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характеристикам, утвержденные </w:t>
            </w:r>
            <w:r w:rsidR="001E2638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органом </w:t>
            </w:r>
            <w:proofErr w:type="spellStart"/>
            <w:r w:rsidR="001E2638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1E2638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070F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</w:tr>
      <w:tr w:rsidR="003D451C" w:rsidRPr="003D451C" w:rsidTr="000F5F83">
        <w:trPr>
          <w:gridAfter w:val="1"/>
          <w:wAfter w:w="45" w:type="pct"/>
          <w:trHeight w:val="20"/>
        </w:trPr>
        <w:tc>
          <w:tcPr>
            <w:tcW w:w="17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2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6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предусмотренного приложением № 2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80552" w:rsidRPr="003D451C" w:rsidRDefault="00080552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функциональное назначение*</w:t>
            </w:r>
          </w:p>
        </w:tc>
      </w:tr>
      <w:tr w:rsidR="003D451C" w:rsidRPr="003D451C" w:rsidTr="000F5F83">
        <w:trPr>
          <w:gridAfter w:val="1"/>
          <w:wAfter w:w="45" w:type="pct"/>
          <w:trHeight w:val="20"/>
        </w:trPr>
        <w:tc>
          <w:tcPr>
            <w:tcW w:w="17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D451C" w:rsidRPr="003D451C" w:rsidTr="000F5F83">
        <w:tblPrEx>
          <w:jc w:val="center"/>
          <w:tblBorders>
            <w:left w:val="none" w:sz="0" w:space="0" w:color="auto"/>
            <w:right w:val="none" w:sz="0" w:space="0" w:color="auto"/>
          </w:tblBorders>
        </w:tblPrEx>
        <w:trPr>
          <w:gridBefore w:val="2"/>
          <w:wBefore w:w="261" w:type="pct"/>
          <w:jc w:val="center"/>
        </w:trPr>
        <w:tc>
          <w:tcPr>
            <w:tcW w:w="4739" w:type="pct"/>
            <w:gridSpan w:val="11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AB3" w:rsidRPr="003D451C" w:rsidRDefault="00481AB3" w:rsidP="000F5F83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05"/>
            <w:bookmarkEnd w:id="2"/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</w:t>
            </w:r>
            <w:r w:rsidR="000F5F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бязательный перечень отдельных видов товаров, работ, услуг,</w:t>
            </w:r>
            <w:r w:rsidR="000F5F83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</w:t>
            </w:r>
            <w:bookmarkStart w:id="3" w:name="_GoBack"/>
            <w:bookmarkEnd w:id="3"/>
            <w:r w:rsidR="000F5F83">
              <w:rPr>
                <w:rFonts w:ascii="Times New Roman" w:hAnsi="Times New Roman" w:cs="Times New Roman"/>
                <w:sz w:val="16"/>
                <w:szCs w:val="16"/>
              </w:rPr>
              <w:t>уг),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предусмотренный Приложением № 2 к Правилам определения требований к закупаемым муниципальными органами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0F1" w:rsidRPr="003D451C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Республики, подведомственными указанным органам казенными учреждениями</w:t>
            </w:r>
            <w:proofErr w:type="gram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0F1" w:rsidRPr="003D451C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Республики, бюджетными учреждениями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0F1" w:rsidRPr="003D451C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 и муниципальными унитарными предприятиями 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070F1" w:rsidRPr="003D451C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 отдельным видам товаров, работ, услуг (в том числе предельных цен товаров, работ, услуг)</w:t>
            </w:r>
            <w:r w:rsidR="000F5F83">
              <w:rPr>
                <w:rFonts w:ascii="Times New Roman" w:hAnsi="Times New Roman" w:cs="Times New Roman"/>
                <w:sz w:val="16"/>
                <w:szCs w:val="16"/>
              </w:rPr>
              <w:t xml:space="preserve">, утвержденным постановлением администрации </w:t>
            </w:r>
            <w:proofErr w:type="spellStart"/>
            <w:r w:rsidR="000F5F83">
              <w:rPr>
                <w:rFonts w:ascii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0F5F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 Чувашской Республики от 29.12.2022 № 1095</w:t>
            </w:r>
          </w:p>
        </w:tc>
      </w:tr>
    </w:tbl>
    <w:p w:rsidR="002E2258" w:rsidRPr="003D451C" w:rsidRDefault="002E2258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659" w:type="pct"/>
        <w:tblInd w:w="-8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008"/>
        <w:gridCol w:w="2151"/>
        <w:gridCol w:w="1150"/>
        <w:gridCol w:w="729"/>
        <w:gridCol w:w="2145"/>
        <w:gridCol w:w="1154"/>
        <w:gridCol w:w="2002"/>
        <w:gridCol w:w="2249"/>
        <w:gridCol w:w="1481"/>
        <w:gridCol w:w="1633"/>
      </w:tblGrid>
      <w:tr w:rsidR="003D451C" w:rsidRPr="003D451C" w:rsidTr="00285786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D451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2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1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оперативной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памяти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  <w:r w:rsidR="004735D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E60858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5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7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6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D2317" w:rsidRPr="003D451C" w:rsidRDefault="005D2317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2317" w:rsidRPr="003D451C" w:rsidRDefault="005D23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16"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DVD-RW (допустимые значения: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DVD-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CD-RW, CD-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Rom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EB1" w:rsidRPr="003D451C" w:rsidRDefault="00BC1EB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D451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7069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6E706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E7069" w:rsidRPr="003D451C" w:rsidRDefault="006E706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4735D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E7069" w:rsidRPr="003D451C" w:rsidRDefault="006E706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C4351" w:rsidRPr="003D451C" w:rsidRDefault="00CC435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C4351" w:rsidRPr="003D451C" w:rsidRDefault="00CC435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93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54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46B9F" w:rsidRPr="003D451C" w:rsidRDefault="00546B9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46B9F" w:rsidRPr="003D451C" w:rsidRDefault="00546B9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54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12" Матовый или глянцевый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 кг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128 Гб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Есть, есть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поддержки 3G (UMTS), 4G (LTE)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800B54" w:rsidRPr="003D451C" w:rsidRDefault="00800B54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00B54" w:rsidRPr="003D451C" w:rsidRDefault="00800B5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735D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C35B2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C5361" w:rsidRPr="003D451C" w:rsidRDefault="004C536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0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5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5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27 дюймов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X64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4,7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16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Встроенный или отдельный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C35B2E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9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A941E7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9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A941E7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9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A941E7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9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A941E7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9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C35B2E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AFF" w:rsidRPr="003D451C" w:rsidRDefault="00201AF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 устройства чтения карт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 устройства чтения карт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6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6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6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6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6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6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8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7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167A" w:rsidRPr="003D451C" w:rsidRDefault="0014167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 устройства чтения карт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 устройства чтения карт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печати (струйный/лазер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 – для принтера/много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функционального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Струйный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лазерный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устройства)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1200x1200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 или черно-белый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50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1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 устройства чтения карт памяти и т.д.)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11506" w:rsidRPr="003D451C" w:rsidRDefault="00D1150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04AAD" w:rsidRPr="003D451C" w:rsidRDefault="00D04AA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A941E7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службы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DE279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 более 12</w:t>
            </w:r>
            <w:r w:rsidR="00A941E7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30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более </w:t>
            </w:r>
            <w:r w:rsidR="00E9290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F0B7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F0B7F" w:rsidRPr="003D451C" w:rsidRDefault="008F0B7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32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5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4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55694E">
        <w:trPr>
          <w:trHeight w:val="76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94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55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5694E" w:rsidRPr="003D451C" w:rsidRDefault="005569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0F568E">
        <w:trPr>
          <w:trHeight w:val="12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поддерживаемые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0F568E">
        <w:trPr>
          <w:trHeight w:val="12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0F568E">
        <w:trPr>
          <w:trHeight w:val="76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74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0F568E">
        <w:trPr>
          <w:trHeight w:val="86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тип устройства (телефон/смарт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фон)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или смартфон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Сенсорный или кнопочный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(Допустимые варианты:</w:t>
            </w:r>
            <w:proofErr w:type="gram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, USB, GPS, ГЛОНАСС)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12 000,00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568E" w:rsidRPr="003D451C" w:rsidTr="00B45E4F">
        <w:trPr>
          <w:trHeight w:val="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8E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40 000,00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F568E" w:rsidRPr="003D451C" w:rsidRDefault="000F568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A2862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9B1A6F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2 5</w:t>
            </w:r>
            <w:r w:rsidR="009B1A6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9B1A6F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B1A6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9B1A6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9B1A6F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9B1A6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9B1A6F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9B1A6F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1A6F" w:rsidRPr="003D451C" w:rsidRDefault="009B1A6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6.5.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076BD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076BD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ED3040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ED3040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ED3040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ED3040" w:rsidRPr="003D451C" w:rsidRDefault="00457D3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ED3040" w:rsidRPr="003D451C" w:rsidRDefault="00ED304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3040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ED304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7D31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D6F01" w:rsidRPr="003D451C" w:rsidRDefault="006D6F0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ED3040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52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33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7.3.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7.4.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7.5.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7.6.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37B82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37B82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B37B8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7.7.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0A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0A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170A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437AA6" w:rsidRPr="003D451C" w:rsidRDefault="00170A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437AA6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7.8.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7.9.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7AA6" w:rsidRPr="003D451C" w:rsidRDefault="00437AA6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B105B" w:rsidRPr="003D451C" w:rsidRDefault="0076430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B105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B105B" w:rsidRPr="003D451C" w:rsidRDefault="002B10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B105B" w:rsidRPr="003D451C" w:rsidRDefault="002B10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8.9.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571D" w:rsidRPr="003D451C" w:rsidRDefault="005C571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3 0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C0F6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24591B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2459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9.9.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91B" w:rsidRPr="003D451C" w:rsidRDefault="002459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группа должностей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3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8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63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</w:t>
            </w:r>
          </w:p>
          <w:p w:rsidR="00331E79" w:rsidRPr="003D451C" w:rsidRDefault="006B1D52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23F44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331E79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10.9.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1E79" w:rsidRPr="003D451C" w:rsidRDefault="00331E7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54" w:right="-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autoSpaceDE w:val="0"/>
              <w:autoSpaceDN w:val="0"/>
              <w:adjustRightInd w:val="0"/>
              <w:spacing w:after="0" w:line="240" w:lineRule="auto"/>
              <w:ind w:left="-54" w:right="-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76BD" w:rsidRPr="003D451C" w:rsidRDefault="002076B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F801F5">
        <w:trPr>
          <w:trHeight w:val="16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F801F5">
        <w:trPr>
          <w:trHeight w:val="277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F801F5" w:rsidRPr="003D451C" w:rsidRDefault="00F801F5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F801F5" w:rsidRPr="003D451C" w:rsidRDefault="00F801F5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801F5" w:rsidRPr="003D451C" w:rsidRDefault="00F801F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66D0">
        <w:trPr>
          <w:trHeight w:val="126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86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D66D0" w:rsidRPr="003D451C" w:rsidRDefault="003D66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0B0558">
        <w:trPr>
          <w:trHeight w:val="13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ведущая группа должностей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(металл)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735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0558" w:rsidRPr="003D451C" w:rsidRDefault="000B055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401D00">
        <w:trPr>
          <w:trHeight w:val="23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55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1D00" w:rsidRPr="003D451C" w:rsidRDefault="00401D0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220428">
        <w:trPr>
          <w:trHeight w:val="35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50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220428">
        <w:trPr>
          <w:trHeight w:val="414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220428">
        <w:trPr>
          <w:trHeight w:val="32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9C6480">
        <w:trPr>
          <w:trHeight w:val="37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37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9C6480">
        <w:trPr>
          <w:trHeight w:val="26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11.9.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rPr>
          <w:trHeight w:val="265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- ткань; возможные значения: нетканые материалы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20428" w:rsidRPr="003D451C" w:rsidRDefault="00220428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B45E4F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983DD0" w:rsidRPr="003D451C" w:rsidRDefault="00983DD0" w:rsidP="003D451C">
            <w:pPr>
              <w:tabs>
                <w:tab w:val="left" w:pos="1484"/>
              </w:tabs>
              <w:autoSpaceDE w:val="0"/>
              <w:autoSpaceDN w:val="0"/>
              <w:adjustRightInd w:val="0"/>
              <w:spacing w:after="0" w:line="235" w:lineRule="auto"/>
              <w:ind w:left="-62" w:right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12.2.</w:t>
            </w:r>
          </w:p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</w:t>
            </w:r>
            <w:r w:rsidR="00040717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</w:t>
            </w:r>
            <w:r w:rsidR="00040717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83DD0" w:rsidRPr="003D451C" w:rsidRDefault="00983DD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искусственная кожа; возможные значения: мебельный (искусственный) мех,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40717" w:rsidRPr="003D451C" w:rsidRDefault="0004071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12.9.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B723D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B723D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autoSpaceDE w:val="0"/>
              <w:autoSpaceDN w:val="0"/>
              <w:adjustRightInd w:val="0"/>
              <w:spacing w:after="0" w:line="235" w:lineRule="auto"/>
              <w:ind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25EC" w:rsidRPr="003D451C" w:rsidRDefault="009525E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B45E4F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  <w:p w:rsidR="0015783F" w:rsidRPr="003D451C" w:rsidRDefault="0015783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5783F" w:rsidRPr="003D451C" w:rsidRDefault="0015783F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13.3.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13.4.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13.5.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13.6.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13.7.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13.8.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13.9.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1 Гб/сек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92E1B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72C49" w:rsidRPr="003D451C" w:rsidRDefault="00B72C4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6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992E1B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6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992E1B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6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992E1B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6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992E1B" w:rsidP="003D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D77DD" w:rsidRPr="003D451C" w:rsidRDefault="004D77DD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954C7D">
        <w:trPr>
          <w:trHeight w:val="97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6161C" w:rsidRPr="003D451C" w:rsidTr="00954C7D">
        <w:trPr>
          <w:trHeight w:val="9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954C7D">
        <w:trPr>
          <w:trHeight w:val="97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3D451C">
        <w:trPr>
          <w:trHeight w:val="97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E536D2">
        <w:trPr>
          <w:trHeight w:val="7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ведущая группа должностей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тарификация услуги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тарификация услуги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6161C" w:rsidRPr="003D451C" w:rsidTr="00E536D2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E536D2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3D451C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A9463B">
        <w:trPr>
          <w:trHeight w:val="11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6161C" w:rsidRPr="003D451C" w:rsidTr="00A9463B">
        <w:trPr>
          <w:trHeight w:val="11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A9463B">
        <w:trPr>
          <w:trHeight w:val="11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3D451C">
        <w:trPr>
          <w:trHeight w:val="115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594970">
        <w:trPr>
          <w:trHeight w:val="7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6161C" w:rsidRPr="003D451C" w:rsidTr="00594970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594970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161C" w:rsidRPr="003D451C" w:rsidTr="003D451C">
        <w:trPr>
          <w:trHeight w:val="78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6161C" w:rsidRPr="003D451C" w:rsidRDefault="000616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967AF8">
        <w:trPr>
          <w:trHeight w:val="30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458C9" w:rsidRPr="003D451C" w:rsidTr="00967AF8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967AF8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3D451C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601970">
        <w:trPr>
          <w:trHeight w:val="30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458C9" w:rsidRPr="003D451C" w:rsidTr="00601970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601970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3D451C">
        <w:trPr>
          <w:trHeight w:val="306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1509C0">
        <w:trPr>
          <w:trHeight w:val="15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458C9" w:rsidRPr="003D451C" w:rsidTr="001509C0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1509C0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3D451C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120044">
        <w:trPr>
          <w:trHeight w:val="15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14.9.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35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повременный</w:t>
            </w: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458C9" w:rsidRPr="003D451C" w:rsidTr="00120044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в информационно-телекоммуникационную сеть "Интернет" (лимитный/ </w:t>
            </w:r>
            <w:proofErr w:type="spellStart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, Гб)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120044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500 мин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8C9" w:rsidRPr="003D451C" w:rsidTr="003D451C">
        <w:trPr>
          <w:trHeight w:val="153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услуги голосовой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35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доступ услуги голосовой </w:t>
            </w:r>
            <w:r w:rsidRPr="003D4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8E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458C9" w:rsidRPr="003D451C" w:rsidRDefault="006458C9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55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B3630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</w:t>
            </w:r>
          </w:p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(не более 3,5 т) автотранспортных средств без водителя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      251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0E6D2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5027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DA502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378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 xml:space="preserve">       251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лошадиных сил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1278AA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5027"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1278AA" w:rsidRDefault="00DA502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1278AA" w:rsidRDefault="00DA5027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3630B" w:rsidRPr="003D451C" w:rsidRDefault="00B3630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61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0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97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юридических и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517C" w:rsidRPr="003D451C" w:rsidRDefault="00E6517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17.9.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планируемой моделью лицензирования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юридических и физических лиц</w:t>
            </w: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852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67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992E1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8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187A3C" w:rsidRPr="003D451C" w:rsidRDefault="00187A3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87A3C" w:rsidRPr="003D451C" w:rsidRDefault="00187A3C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18.8.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Федеральному закону «О персональных данных» приложений, содержащих персональные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данные (да/нет)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Федеральному закону «О персональных данных» приложений, содержащих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персональные данные (да/нет)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полноценной поддержкой форматов файлов с расширениями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docm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psw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pwd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rtf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xml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xlsm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pub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pptx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ppsx</w:t>
            </w:r>
            <w:proofErr w:type="spellEnd"/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905C4E" w:rsidRPr="003D451C" w:rsidRDefault="00905C4E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1278A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5C4E" w:rsidRPr="003D451C" w:rsidRDefault="00905C4E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99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19.1.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98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19.2.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на русском языке интерфейса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на русском языке интерфейса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доступность на русском языке интерфейса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19.3.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8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19.4.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8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19.5.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12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на русском языке интерфейса конфигурирования средства информационной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доступность на русском языке интерфейса конфигурирования средства информационной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доступность на русском языке интерфейса конфигурирования средства информационной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безопасности</w:t>
            </w:r>
          </w:p>
          <w:p w:rsidR="003E70A1" w:rsidRPr="003D451C" w:rsidRDefault="003E70A1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E70A1" w:rsidRPr="003D451C" w:rsidRDefault="003E70A1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19.6.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19.7.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490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4327E5" w:rsidRPr="003D451C" w:rsidRDefault="004327E5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7E5" w:rsidRPr="003D451C" w:rsidRDefault="004327E5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19.8.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19.9.</w:t>
            </w:r>
          </w:p>
        </w:tc>
        <w:tc>
          <w:tcPr>
            <w:tcW w:w="31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45"/>
        </w:trPr>
        <w:tc>
          <w:tcPr>
            <w:tcW w:w="154" w:type="pct"/>
            <w:vMerge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23F44" w:rsidRPr="003D451C" w:rsidRDefault="00C23F44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23F44" w:rsidRPr="003D451C" w:rsidRDefault="00C23F44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российским стандартам систем бухгалтерского учета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20.3.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20.4.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20.5.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20.6.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 бухгалтерского учета</w:t>
            </w:r>
          </w:p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rPr>
          <w:trHeight w:val="2099"/>
        </w:trPr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20.7.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подведомственных администрации </w:t>
            </w:r>
            <w:proofErr w:type="spellStart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="006F09AC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781C" w:rsidRPr="003D451C" w:rsidRDefault="0014781C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4E715B" w:rsidRPr="003D451C" w:rsidRDefault="004E715B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20.9.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4E715B" w:rsidRPr="003D451C" w:rsidRDefault="004E715B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поддержки и формирования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715B" w:rsidRPr="003D451C" w:rsidRDefault="004E715B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телекоммуникационные прочие.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Пояснения по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требуемым услугам: оказание услуг по предоставлению высокоскоростного доступа в информационно-телекоммуни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кационную сеть «Интернет»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190" w:rsidRPr="003D451C" w:rsidRDefault="005D619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21.1.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="00992E1B"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5406A" w:rsidRPr="003D451C" w:rsidRDefault="0025406A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21.2.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21.3.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группа должностей (должности руководителей)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21.4.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ведущая (старшая) группы должностей (должности специалистов)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21.5.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 должностей (должности специалистов)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21.6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21.7.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казенных и бюджетных учреждений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округа, подведомственных администрации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максимальная скорость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максимальная скорость </w:t>
            </w: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21.8.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должности руководителей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451C" w:rsidRPr="003D451C" w:rsidTr="003D451C"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21.9.</w:t>
            </w:r>
          </w:p>
        </w:tc>
        <w:tc>
          <w:tcPr>
            <w:tcW w:w="3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должности муниципальных унитарных предприятий </w:t>
            </w:r>
            <w:proofErr w:type="spell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Шумерлинского</w:t>
            </w:r>
            <w:proofErr w:type="spellEnd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rPr>
                <w:rFonts w:ascii="Times New Roman" w:hAnsi="Times New Roman" w:cs="Times New Roman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2550" w:rsidRPr="003D451C" w:rsidRDefault="00892550" w:rsidP="003D45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5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285786" w:rsidRPr="003D451C" w:rsidRDefault="00285786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85786" w:rsidRPr="003D451C" w:rsidRDefault="00285786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85786" w:rsidRPr="003D451C" w:rsidRDefault="00285786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85786" w:rsidRPr="003D451C" w:rsidRDefault="00285786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85786" w:rsidRPr="003D451C" w:rsidRDefault="00285786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1CCF" w:rsidRPr="003D451C" w:rsidRDefault="00651CCF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2258" w:rsidRPr="003D451C" w:rsidRDefault="002E2258" w:rsidP="003D45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2E2258" w:rsidRPr="003D451C" w:rsidSect="0088588C">
      <w:pgSz w:w="16838" w:h="11905" w:orient="landscape"/>
      <w:pgMar w:top="850" w:right="1560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A8"/>
    <w:multiLevelType w:val="hybridMultilevel"/>
    <w:tmpl w:val="A770165C"/>
    <w:lvl w:ilvl="0" w:tplc="4A60BF0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7200EE"/>
    <w:multiLevelType w:val="hybridMultilevel"/>
    <w:tmpl w:val="7744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F1C"/>
    <w:multiLevelType w:val="hybridMultilevel"/>
    <w:tmpl w:val="ED684DBE"/>
    <w:lvl w:ilvl="0" w:tplc="8EB2C14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41EC349C"/>
    <w:multiLevelType w:val="hybridMultilevel"/>
    <w:tmpl w:val="1EA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3ED9"/>
    <w:multiLevelType w:val="hybridMultilevel"/>
    <w:tmpl w:val="ABFC5EB6"/>
    <w:lvl w:ilvl="0" w:tplc="F5BCF0C8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FDE008F"/>
    <w:multiLevelType w:val="hybridMultilevel"/>
    <w:tmpl w:val="DDBA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3887"/>
    <w:multiLevelType w:val="hybridMultilevel"/>
    <w:tmpl w:val="34A28FA8"/>
    <w:lvl w:ilvl="0" w:tplc="8420322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7C035CAF"/>
    <w:multiLevelType w:val="hybridMultilevel"/>
    <w:tmpl w:val="6FE4F97A"/>
    <w:lvl w:ilvl="0" w:tplc="CA14F090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7"/>
    <w:rsid w:val="00026E17"/>
    <w:rsid w:val="00040717"/>
    <w:rsid w:val="00057D91"/>
    <w:rsid w:val="0006161C"/>
    <w:rsid w:val="000624A2"/>
    <w:rsid w:val="00064377"/>
    <w:rsid w:val="00080552"/>
    <w:rsid w:val="000B0558"/>
    <w:rsid w:val="000C54BA"/>
    <w:rsid w:val="000C5DA4"/>
    <w:rsid w:val="000D634C"/>
    <w:rsid w:val="000E6D2C"/>
    <w:rsid w:val="000F4B36"/>
    <w:rsid w:val="000F568E"/>
    <w:rsid w:val="000F5F83"/>
    <w:rsid w:val="00103AEC"/>
    <w:rsid w:val="00113F94"/>
    <w:rsid w:val="00117D38"/>
    <w:rsid w:val="001278AA"/>
    <w:rsid w:val="001336AF"/>
    <w:rsid w:val="0014167A"/>
    <w:rsid w:val="00145346"/>
    <w:rsid w:val="0014781C"/>
    <w:rsid w:val="0015783F"/>
    <w:rsid w:val="00166A35"/>
    <w:rsid w:val="00170A79"/>
    <w:rsid w:val="001732CD"/>
    <w:rsid w:val="0017588E"/>
    <w:rsid w:val="00180A34"/>
    <w:rsid w:val="00181628"/>
    <w:rsid w:val="001818BB"/>
    <w:rsid w:val="0018204A"/>
    <w:rsid w:val="00187A3C"/>
    <w:rsid w:val="0019412B"/>
    <w:rsid w:val="00194E83"/>
    <w:rsid w:val="001B4039"/>
    <w:rsid w:val="001D6D07"/>
    <w:rsid w:val="001E2638"/>
    <w:rsid w:val="001E5648"/>
    <w:rsid w:val="001F299B"/>
    <w:rsid w:val="00201AFF"/>
    <w:rsid w:val="002076BD"/>
    <w:rsid w:val="002170FF"/>
    <w:rsid w:val="00220428"/>
    <w:rsid w:val="00225096"/>
    <w:rsid w:val="00241F51"/>
    <w:rsid w:val="00243BC5"/>
    <w:rsid w:val="0024591B"/>
    <w:rsid w:val="0025406A"/>
    <w:rsid w:val="00256AC2"/>
    <w:rsid w:val="002824D9"/>
    <w:rsid w:val="002851BA"/>
    <w:rsid w:val="00285786"/>
    <w:rsid w:val="0029476B"/>
    <w:rsid w:val="002A120F"/>
    <w:rsid w:val="002B105B"/>
    <w:rsid w:val="002B145E"/>
    <w:rsid w:val="002D7367"/>
    <w:rsid w:val="002E2258"/>
    <w:rsid w:val="002F03DD"/>
    <w:rsid w:val="00307CD9"/>
    <w:rsid w:val="003225B7"/>
    <w:rsid w:val="00331E79"/>
    <w:rsid w:val="0034022E"/>
    <w:rsid w:val="00352EF2"/>
    <w:rsid w:val="003B4387"/>
    <w:rsid w:val="003D451C"/>
    <w:rsid w:val="003D66D0"/>
    <w:rsid w:val="003E70A1"/>
    <w:rsid w:val="00400223"/>
    <w:rsid w:val="004004F4"/>
    <w:rsid w:val="00401D00"/>
    <w:rsid w:val="00415445"/>
    <w:rsid w:val="004327E5"/>
    <w:rsid w:val="00437AA6"/>
    <w:rsid w:val="00457D31"/>
    <w:rsid w:val="004600E4"/>
    <w:rsid w:val="004735D4"/>
    <w:rsid w:val="004813A1"/>
    <w:rsid w:val="00481AB3"/>
    <w:rsid w:val="004A0D90"/>
    <w:rsid w:val="004A1211"/>
    <w:rsid w:val="004B3F37"/>
    <w:rsid w:val="004B4190"/>
    <w:rsid w:val="004B4C14"/>
    <w:rsid w:val="004B71DE"/>
    <w:rsid w:val="004C5361"/>
    <w:rsid w:val="004D3EC6"/>
    <w:rsid w:val="004D5D2C"/>
    <w:rsid w:val="004D77DD"/>
    <w:rsid w:val="004E2622"/>
    <w:rsid w:val="004E4FA8"/>
    <w:rsid w:val="004E6A3B"/>
    <w:rsid w:val="004E715B"/>
    <w:rsid w:val="004F010A"/>
    <w:rsid w:val="004F3A38"/>
    <w:rsid w:val="004F440F"/>
    <w:rsid w:val="00503239"/>
    <w:rsid w:val="0050447F"/>
    <w:rsid w:val="0051092C"/>
    <w:rsid w:val="005224F0"/>
    <w:rsid w:val="005257DA"/>
    <w:rsid w:val="00531768"/>
    <w:rsid w:val="00532C13"/>
    <w:rsid w:val="00546B9F"/>
    <w:rsid w:val="0055694E"/>
    <w:rsid w:val="0055785F"/>
    <w:rsid w:val="005806E6"/>
    <w:rsid w:val="0059783E"/>
    <w:rsid w:val="005C571D"/>
    <w:rsid w:val="005D2317"/>
    <w:rsid w:val="005D6190"/>
    <w:rsid w:val="005E57AC"/>
    <w:rsid w:val="005F1513"/>
    <w:rsid w:val="005F1F7D"/>
    <w:rsid w:val="0060639A"/>
    <w:rsid w:val="00613EA6"/>
    <w:rsid w:val="00631C1C"/>
    <w:rsid w:val="00634FBA"/>
    <w:rsid w:val="00641782"/>
    <w:rsid w:val="006458C9"/>
    <w:rsid w:val="00646059"/>
    <w:rsid w:val="00651CCF"/>
    <w:rsid w:val="00682756"/>
    <w:rsid w:val="006A1F78"/>
    <w:rsid w:val="006B1D52"/>
    <w:rsid w:val="006B2971"/>
    <w:rsid w:val="006C0F6B"/>
    <w:rsid w:val="006D6F01"/>
    <w:rsid w:val="006E554D"/>
    <w:rsid w:val="006E7069"/>
    <w:rsid w:val="006F09AC"/>
    <w:rsid w:val="006F0B47"/>
    <w:rsid w:val="006F464A"/>
    <w:rsid w:val="006F5696"/>
    <w:rsid w:val="007070F1"/>
    <w:rsid w:val="00715C7B"/>
    <w:rsid w:val="0072293D"/>
    <w:rsid w:val="00743B5C"/>
    <w:rsid w:val="0076430A"/>
    <w:rsid w:val="00772E46"/>
    <w:rsid w:val="00781DDB"/>
    <w:rsid w:val="00792AA5"/>
    <w:rsid w:val="007A5A4E"/>
    <w:rsid w:val="007C1CBB"/>
    <w:rsid w:val="007C2B6B"/>
    <w:rsid w:val="007D146F"/>
    <w:rsid w:val="007D3432"/>
    <w:rsid w:val="007E5F23"/>
    <w:rsid w:val="007F0F5A"/>
    <w:rsid w:val="007F21CF"/>
    <w:rsid w:val="007F72D1"/>
    <w:rsid w:val="00800B54"/>
    <w:rsid w:val="00810029"/>
    <w:rsid w:val="00836729"/>
    <w:rsid w:val="008566EA"/>
    <w:rsid w:val="008737FF"/>
    <w:rsid w:val="0088588C"/>
    <w:rsid w:val="00892550"/>
    <w:rsid w:val="008A0023"/>
    <w:rsid w:val="008C494D"/>
    <w:rsid w:val="008C49CB"/>
    <w:rsid w:val="008D1F4F"/>
    <w:rsid w:val="008D52A9"/>
    <w:rsid w:val="008E3A68"/>
    <w:rsid w:val="008E7D6C"/>
    <w:rsid w:val="008F0B7F"/>
    <w:rsid w:val="008F4C22"/>
    <w:rsid w:val="00905C4E"/>
    <w:rsid w:val="00921767"/>
    <w:rsid w:val="00921C0F"/>
    <w:rsid w:val="00945860"/>
    <w:rsid w:val="009525EC"/>
    <w:rsid w:val="00983DD0"/>
    <w:rsid w:val="00985C51"/>
    <w:rsid w:val="00987F48"/>
    <w:rsid w:val="00992E1B"/>
    <w:rsid w:val="009B1A6F"/>
    <w:rsid w:val="009B429C"/>
    <w:rsid w:val="009C6480"/>
    <w:rsid w:val="009D65FF"/>
    <w:rsid w:val="009D7C9A"/>
    <w:rsid w:val="009F1BF7"/>
    <w:rsid w:val="00A34AD8"/>
    <w:rsid w:val="00A67B78"/>
    <w:rsid w:val="00A711FE"/>
    <w:rsid w:val="00A8440B"/>
    <w:rsid w:val="00A85259"/>
    <w:rsid w:val="00A941E7"/>
    <w:rsid w:val="00A96452"/>
    <w:rsid w:val="00AB01AF"/>
    <w:rsid w:val="00AD140A"/>
    <w:rsid w:val="00AD713E"/>
    <w:rsid w:val="00AE0B24"/>
    <w:rsid w:val="00AE7FA8"/>
    <w:rsid w:val="00B04131"/>
    <w:rsid w:val="00B228AD"/>
    <w:rsid w:val="00B32187"/>
    <w:rsid w:val="00B336E6"/>
    <w:rsid w:val="00B3630B"/>
    <w:rsid w:val="00B37B82"/>
    <w:rsid w:val="00B4148D"/>
    <w:rsid w:val="00B45E4F"/>
    <w:rsid w:val="00B47DE6"/>
    <w:rsid w:val="00B600FA"/>
    <w:rsid w:val="00B6265F"/>
    <w:rsid w:val="00B723DC"/>
    <w:rsid w:val="00B72C49"/>
    <w:rsid w:val="00B74AE6"/>
    <w:rsid w:val="00B77407"/>
    <w:rsid w:val="00B83D9B"/>
    <w:rsid w:val="00B84030"/>
    <w:rsid w:val="00BA2862"/>
    <w:rsid w:val="00BA58E7"/>
    <w:rsid w:val="00BA6481"/>
    <w:rsid w:val="00BC1EB1"/>
    <w:rsid w:val="00BC41FF"/>
    <w:rsid w:val="00BE1C80"/>
    <w:rsid w:val="00BE5856"/>
    <w:rsid w:val="00BF65A2"/>
    <w:rsid w:val="00BF7198"/>
    <w:rsid w:val="00C0216F"/>
    <w:rsid w:val="00C14761"/>
    <w:rsid w:val="00C23F44"/>
    <w:rsid w:val="00C27AD7"/>
    <w:rsid w:val="00C35B2E"/>
    <w:rsid w:val="00C43469"/>
    <w:rsid w:val="00C45D46"/>
    <w:rsid w:val="00C64683"/>
    <w:rsid w:val="00C746FC"/>
    <w:rsid w:val="00C74828"/>
    <w:rsid w:val="00CA2B35"/>
    <w:rsid w:val="00CA477D"/>
    <w:rsid w:val="00CB1895"/>
    <w:rsid w:val="00CC316E"/>
    <w:rsid w:val="00CC4351"/>
    <w:rsid w:val="00CC6340"/>
    <w:rsid w:val="00CD4355"/>
    <w:rsid w:val="00CD7D29"/>
    <w:rsid w:val="00D038D4"/>
    <w:rsid w:val="00D04AAD"/>
    <w:rsid w:val="00D11506"/>
    <w:rsid w:val="00D17D0C"/>
    <w:rsid w:val="00D26F04"/>
    <w:rsid w:val="00D32BAA"/>
    <w:rsid w:val="00D66AE5"/>
    <w:rsid w:val="00D7573B"/>
    <w:rsid w:val="00D841CD"/>
    <w:rsid w:val="00DA5027"/>
    <w:rsid w:val="00DB5104"/>
    <w:rsid w:val="00DB6504"/>
    <w:rsid w:val="00DB65B4"/>
    <w:rsid w:val="00DD5FBD"/>
    <w:rsid w:val="00DE279C"/>
    <w:rsid w:val="00DF2D20"/>
    <w:rsid w:val="00DF5F42"/>
    <w:rsid w:val="00E364AA"/>
    <w:rsid w:val="00E41D30"/>
    <w:rsid w:val="00E43011"/>
    <w:rsid w:val="00E60858"/>
    <w:rsid w:val="00E64313"/>
    <w:rsid w:val="00E6517C"/>
    <w:rsid w:val="00E7241B"/>
    <w:rsid w:val="00E826D2"/>
    <w:rsid w:val="00E92909"/>
    <w:rsid w:val="00E9409B"/>
    <w:rsid w:val="00EB7F00"/>
    <w:rsid w:val="00ED3040"/>
    <w:rsid w:val="00EE51F0"/>
    <w:rsid w:val="00F16F26"/>
    <w:rsid w:val="00F223BB"/>
    <w:rsid w:val="00F25036"/>
    <w:rsid w:val="00F3365E"/>
    <w:rsid w:val="00F349B4"/>
    <w:rsid w:val="00F35E3F"/>
    <w:rsid w:val="00F4430D"/>
    <w:rsid w:val="00F547F9"/>
    <w:rsid w:val="00F55468"/>
    <w:rsid w:val="00F563C1"/>
    <w:rsid w:val="00F801F5"/>
    <w:rsid w:val="00F808CB"/>
    <w:rsid w:val="00FD5D30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E6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8D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BF65A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BF65A2"/>
    <w:pPr>
      <w:widowControl w:val="0"/>
      <w:shd w:val="clear" w:color="auto" w:fill="FFFFFF"/>
      <w:spacing w:after="0" w:line="0" w:lineRule="atLeast"/>
      <w:ind w:hanging="2720"/>
    </w:pPr>
    <w:rPr>
      <w:rFonts w:ascii="Times New Roman" w:eastAsia="Times New Roman" w:hAnsi="Times New Roman" w:cs="Times New Roman"/>
      <w:spacing w:val="9"/>
    </w:rPr>
  </w:style>
  <w:style w:type="character" w:styleId="a7">
    <w:name w:val="Hyperlink"/>
    <w:basedOn w:val="a0"/>
    <w:uiPriority w:val="99"/>
    <w:unhideWhenUsed/>
    <w:rsid w:val="00792AA5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4E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4E262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E6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8D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BF65A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BF65A2"/>
    <w:pPr>
      <w:widowControl w:val="0"/>
      <w:shd w:val="clear" w:color="auto" w:fill="FFFFFF"/>
      <w:spacing w:after="0" w:line="0" w:lineRule="atLeast"/>
      <w:ind w:hanging="2720"/>
    </w:pPr>
    <w:rPr>
      <w:rFonts w:ascii="Times New Roman" w:eastAsia="Times New Roman" w:hAnsi="Times New Roman" w:cs="Times New Roman"/>
      <w:spacing w:val="9"/>
    </w:rPr>
  </w:style>
  <w:style w:type="character" w:styleId="a7">
    <w:name w:val="Hyperlink"/>
    <w:basedOn w:val="a0"/>
    <w:uiPriority w:val="99"/>
    <w:unhideWhenUsed/>
    <w:rsid w:val="00792AA5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4E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4E2622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7BE726B85B601777978E1E71E58CE2D9C8466D194566926FC0EFC094A0AC0A394FE1AD8n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B935-93B7-4BAB-A670-B93B4385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8404</TotalTime>
  <Pages>53</Pages>
  <Words>17324</Words>
  <Characters>98747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Галина Алексеевна</dc:creator>
  <cp:keywords/>
  <dc:description/>
  <cp:lastModifiedBy>Эдуард Георгиевич Тихонов</cp:lastModifiedBy>
  <cp:revision>134</cp:revision>
  <cp:lastPrinted>2023-01-11T07:22:00Z</cp:lastPrinted>
  <dcterms:created xsi:type="dcterms:W3CDTF">2017-02-06T12:04:00Z</dcterms:created>
  <dcterms:modified xsi:type="dcterms:W3CDTF">2023-01-11T07:46:00Z</dcterms:modified>
</cp:coreProperties>
</file>