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7638" w14:textId="236929F6" w:rsidR="008A0F15" w:rsidRPr="006E4802" w:rsidRDefault="008A0F15" w:rsidP="008A0F15">
      <w:pPr>
        <w:ind w:right="5670"/>
        <w:jc w:val="both"/>
        <w:rPr>
          <w:rFonts w:ascii="Times New Roman" w:hAnsi="Times New Roman"/>
          <w:b/>
          <w:bCs/>
          <w:szCs w:val="26"/>
        </w:rPr>
      </w:pPr>
      <w:bookmarkStart w:id="0" w:name="_Hlk118791905"/>
      <w:r w:rsidRPr="006E4802">
        <w:rPr>
          <w:rFonts w:ascii="Times New Roman" w:hAnsi="Times New Roman"/>
          <w:b/>
          <w:szCs w:val="26"/>
        </w:rPr>
        <w:t xml:space="preserve">Об утверждении паспорта </w:t>
      </w:r>
      <w:r>
        <w:rPr>
          <w:rFonts w:ascii="Times New Roman" w:hAnsi="Times New Roman"/>
          <w:b/>
          <w:szCs w:val="26"/>
        </w:rPr>
        <w:t xml:space="preserve">          </w:t>
      </w:r>
      <w:r w:rsidRPr="006E4802">
        <w:rPr>
          <w:rFonts w:ascii="Times New Roman" w:hAnsi="Times New Roman"/>
          <w:b/>
          <w:szCs w:val="26"/>
        </w:rPr>
        <w:t xml:space="preserve">муниципальной программы </w:t>
      </w:r>
      <w:r>
        <w:rPr>
          <w:rFonts w:ascii="Times New Roman" w:hAnsi="Times New Roman"/>
          <w:b/>
          <w:szCs w:val="26"/>
        </w:rPr>
        <w:t xml:space="preserve">         </w:t>
      </w:r>
      <w:r w:rsidRPr="006E4802">
        <w:rPr>
          <w:rFonts w:ascii="Times New Roman" w:hAnsi="Times New Roman"/>
          <w:b/>
          <w:szCs w:val="26"/>
        </w:rPr>
        <w:t xml:space="preserve">Чебоксарского </w:t>
      </w:r>
      <w:r w:rsidR="000E7B6D">
        <w:rPr>
          <w:rFonts w:ascii="Times New Roman" w:hAnsi="Times New Roman"/>
          <w:b/>
          <w:szCs w:val="26"/>
        </w:rPr>
        <w:t>муниципального округа Чувашской Республики</w:t>
      </w:r>
      <w:r>
        <w:rPr>
          <w:rFonts w:ascii="Times New Roman" w:hAnsi="Times New Roman"/>
          <w:b/>
          <w:szCs w:val="26"/>
        </w:rPr>
        <w:t xml:space="preserve"> «Развитие земельных и имущественных              отношений»</w:t>
      </w:r>
    </w:p>
    <w:bookmarkEnd w:id="0"/>
    <w:p w14:paraId="6D9140E5" w14:textId="77777777" w:rsidR="008A0F15" w:rsidRPr="0051323F" w:rsidRDefault="008A0F15" w:rsidP="008A0F15">
      <w:pPr>
        <w:jc w:val="both"/>
        <w:rPr>
          <w:rFonts w:ascii="Times New Roman" w:hAnsi="Times New Roman"/>
          <w:b/>
          <w:szCs w:val="26"/>
        </w:rPr>
      </w:pPr>
    </w:p>
    <w:p w14:paraId="78738973" w14:textId="77777777" w:rsidR="008A0F15" w:rsidRPr="0051323F" w:rsidRDefault="008A0F15" w:rsidP="008A0F15">
      <w:pPr>
        <w:jc w:val="both"/>
        <w:rPr>
          <w:rFonts w:ascii="Times New Roman" w:hAnsi="Times New Roman"/>
          <w:b/>
          <w:szCs w:val="26"/>
        </w:rPr>
      </w:pPr>
    </w:p>
    <w:p w14:paraId="036CEF27" w14:textId="76956ED5" w:rsidR="008A0F15" w:rsidRPr="005D666F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 соответствии с Бюджетным кодексом Российской Федерации от 31.07.1998 №145-ФЗ, Федеральным законом от 06.10.2003 №131-ФЗ «Об общих принципах      организации местного самоуправления в Российской Федерации», администрация</w:t>
      </w:r>
      <w:r w:rsidRPr="005D666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</w:t>
      </w:r>
      <w:r w:rsidRPr="005D666F">
        <w:rPr>
          <w:rFonts w:ascii="Times New Roman" w:hAnsi="Times New Roman"/>
          <w:szCs w:val="26"/>
        </w:rPr>
        <w:t xml:space="preserve">Чебоксарского района  </w:t>
      </w:r>
      <w:r w:rsidR="000E7B6D">
        <w:rPr>
          <w:rFonts w:ascii="Times New Roman" w:hAnsi="Times New Roman"/>
          <w:szCs w:val="26"/>
        </w:rPr>
        <w:t xml:space="preserve">Чувашской Республики </w:t>
      </w:r>
      <w:r w:rsidRPr="005D666F">
        <w:rPr>
          <w:rFonts w:ascii="Times New Roman" w:hAnsi="Times New Roman"/>
          <w:szCs w:val="26"/>
        </w:rPr>
        <w:t>п о с т а н о в л я е т:</w:t>
      </w:r>
    </w:p>
    <w:p w14:paraId="051F4DB7" w14:textId="37430262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 w:rsidRPr="005D666F">
        <w:rPr>
          <w:rFonts w:ascii="Times New Roman" w:hAnsi="Times New Roman"/>
          <w:szCs w:val="26"/>
        </w:rPr>
        <w:t>1. </w:t>
      </w:r>
      <w:r w:rsidR="003A5385">
        <w:rPr>
          <w:rFonts w:ascii="Times New Roman" w:hAnsi="Times New Roman"/>
          <w:szCs w:val="26"/>
        </w:rPr>
        <w:t xml:space="preserve"> </w:t>
      </w:r>
      <w:r w:rsidRPr="005D666F">
        <w:rPr>
          <w:rFonts w:ascii="Times New Roman" w:hAnsi="Times New Roman"/>
          <w:szCs w:val="26"/>
        </w:rPr>
        <w:t xml:space="preserve">Утвердить прилагаемый паспорт </w:t>
      </w:r>
      <w:r>
        <w:rPr>
          <w:rFonts w:ascii="Times New Roman" w:hAnsi="Times New Roman"/>
          <w:szCs w:val="26"/>
        </w:rPr>
        <w:t xml:space="preserve">муниципальной </w:t>
      </w:r>
      <w:r w:rsidRPr="005D666F">
        <w:rPr>
          <w:rFonts w:ascii="Times New Roman" w:hAnsi="Times New Roman"/>
          <w:szCs w:val="26"/>
        </w:rPr>
        <w:t xml:space="preserve">программы Чебоксарского </w:t>
      </w:r>
      <w:r w:rsidR="000E7B6D">
        <w:rPr>
          <w:rFonts w:ascii="Times New Roman" w:hAnsi="Times New Roman"/>
          <w:szCs w:val="26"/>
        </w:rPr>
        <w:t>муниципального округа Чувашской Республики</w:t>
      </w:r>
      <w:r w:rsidRPr="005D666F">
        <w:rPr>
          <w:rFonts w:ascii="Times New Roman" w:hAnsi="Times New Roman"/>
          <w:szCs w:val="26"/>
        </w:rPr>
        <w:t xml:space="preserve"> «</w:t>
      </w:r>
      <w:r w:rsidRPr="000E7B6D">
        <w:rPr>
          <w:rStyle w:val="a9"/>
          <w:rFonts w:ascii="Times New Roman" w:hAnsi="Times New Roman"/>
          <w:b w:val="0"/>
          <w:bCs w:val="0"/>
          <w:color w:val="262626"/>
        </w:rPr>
        <w:t xml:space="preserve">Развитие земельных и </w:t>
      </w:r>
      <w:r w:rsidR="000E7B6D">
        <w:rPr>
          <w:rStyle w:val="a9"/>
          <w:rFonts w:ascii="Times New Roman" w:hAnsi="Times New Roman"/>
          <w:b w:val="0"/>
          <w:bCs w:val="0"/>
          <w:color w:val="262626"/>
        </w:rPr>
        <w:t xml:space="preserve">                        </w:t>
      </w:r>
      <w:r w:rsidRPr="000E7B6D">
        <w:rPr>
          <w:rStyle w:val="a9"/>
          <w:rFonts w:ascii="Times New Roman" w:hAnsi="Times New Roman"/>
          <w:b w:val="0"/>
          <w:bCs w:val="0"/>
          <w:color w:val="262626"/>
        </w:rPr>
        <w:t>имущественных отношений</w:t>
      </w:r>
      <w:r w:rsidRPr="005D666F">
        <w:rPr>
          <w:rFonts w:ascii="Times New Roman" w:hAnsi="Times New Roman"/>
          <w:szCs w:val="26"/>
        </w:rPr>
        <w:t>».</w:t>
      </w:r>
      <w:r>
        <w:rPr>
          <w:rFonts w:ascii="Times New Roman" w:hAnsi="Times New Roman"/>
          <w:szCs w:val="26"/>
        </w:rPr>
        <w:t xml:space="preserve"> </w:t>
      </w:r>
    </w:p>
    <w:p w14:paraId="1CF50ED8" w14:textId="4F923689" w:rsidR="008A0F15" w:rsidRPr="00D15E11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2.</w:t>
      </w:r>
      <w:r w:rsidR="003A5385">
        <w:t xml:space="preserve"> </w:t>
      </w:r>
      <w:r w:rsidRPr="005A7E5E">
        <w:rPr>
          <w:rFonts w:ascii="Times New Roman" w:hAnsi="Times New Roman"/>
          <w:color w:val="000000"/>
          <w:szCs w:val="26"/>
        </w:rPr>
        <w:t xml:space="preserve">Настоящее постановление </w:t>
      </w:r>
      <w:r w:rsidR="000E7B6D" w:rsidRPr="000E7B6D">
        <w:rPr>
          <w:rFonts w:ascii="Times New Roman" w:hAnsi="Times New Roman"/>
          <w:color w:val="000000"/>
          <w:szCs w:val="26"/>
        </w:rPr>
        <w:t xml:space="preserve">подлежит официальному опубликованию и </w:t>
      </w:r>
      <w:r w:rsidR="00CB1EBB">
        <w:rPr>
          <w:rFonts w:ascii="Times New Roman" w:hAnsi="Times New Roman"/>
          <w:color w:val="000000"/>
          <w:szCs w:val="26"/>
        </w:rPr>
        <w:t xml:space="preserve">                 </w:t>
      </w:r>
      <w:r w:rsidR="000E7B6D" w:rsidRPr="000E7B6D">
        <w:rPr>
          <w:rFonts w:ascii="Times New Roman" w:hAnsi="Times New Roman"/>
          <w:color w:val="000000"/>
          <w:szCs w:val="26"/>
        </w:rPr>
        <w:t>вступает в силу с 01 января 2023 года</w:t>
      </w:r>
      <w:r w:rsidRPr="005A7E5E">
        <w:rPr>
          <w:rFonts w:ascii="Times New Roman" w:hAnsi="Times New Roman"/>
          <w:color w:val="000000"/>
          <w:szCs w:val="26"/>
        </w:rPr>
        <w:t>.</w:t>
      </w:r>
    </w:p>
    <w:p w14:paraId="00473224" w14:textId="75EA8E58" w:rsidR="008A0F15" w:rsidRPr="00F06213" w:rsidRDefault="008A0F15" w:rsidP="008A0F15">
      <w:pPr>
        <w:pStyle w:val="2"/>
        <w:jc w:val="both"/>
        <w:rPr>
          <w:szCs w:val="26"/>
        </w:rPr>
      </w:pPr>
      <w:r>
        <w:rPr>
          <w:szCs w:val="26"/>
        </w:rPr>
        <w:t xml:space="preserve">3. </w:t>
      </w:r>
      <w:r w:rsidRPr="00F06213">
        <w:rPr>
          <w:szCs w:val="26"/>
        </w:rPr>
        <w:t xml:space="preserve">Контроль за исполнением данного постановления возложить на отдел </w:t>
      </w:r>
      <w:r>
        <w:rPr>
          <w:szCs w:val="26"/>
        </w:rPr>
        <w:t xml:space="preserve">   имущественных и земельных отношений администрации Чебоксарского района</w:t>
      </w:r>
      <w:r w:rsidR="003A5385">
        <w:rPr>
          <w:szCs w:val="26"/>
        </w:rPr>
        <w:t xml:space="preserve"> </w:t>
      </w:r>
      <w:r w:rsidR="00876AFC">
        <w:rPr>
          <w:szCs w:val="26"/>
        </w:rPr>
        <w:t xml:space="preserve">             </w:t>
      </w:r>
      <w:r w:rsidR="003A5385">
        <w:rPr>
          <w:szCs w:val="26"/>
        </w:rPr>
        <w:t>Чувашской Республики</w:t>
      </w:r>
      <w:r w:rsidRPr="00F06213">
        <w:rPr>
          <w:szCs w:val="26"/>
        </w:rPr>
        <w:t>.</w:t>
      </w:r>
    </w:p>
    <w:p w14:paraId="465B2EFF" w14:textId="77777777" w:rsidR="008A0F15" w:rsidRPr="005A7E5E" w:rsidRDefault="008A0F15" w:rsidP="008A0F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26D504" w14:textId="77777777" w:rsidR="008A0F15" w:rsidRPr="006E4802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73C6BD49" w14:textId="4CB8C341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67276E86" w14:textId="77777777" w:rsidR="000E7B6D" w:rsidRDefault="000E7B6D" w:rsidP="008A0F1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8A0F15" w14:paraId="7839AAAF" w14:textId="77777777" w:rsidTr="007120AE">
        <w:tc>
          <w:tcPr>
            <w:tcW w:w="5211" w:type="dxa"/>
          </w:tcPr>
          <w:p w14:paraId="2A589A9F" w14:textId="77777777" w:rsidR="008A0F15" w:rsidRPr="00BC4C72" w:rsidRDefault="008A0F15" w:rsidP="007120A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14:paraId="24309E67" w14:textId="78A7EA7A" w:rsidR="008A0F15" w:rsidRDefault="000E7B6D" w:rsidP="007120A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5755F089" w14:textId="77777777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3E44CA2A" w14:textId="77777777" w:rsidR="00CB1EBB" w:rsidRDefault="000E7B6D" w:rsidP="000E7B6D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</w:t>
      </w:r>
    </w:p>
    <w:p w14:paraId="292F3835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0033A3A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46E08424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78E3C4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4DE5D9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5FF8E869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6982918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64612564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D342422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2DB598C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A689F52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188F62A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5D279832" w14:textId="3FB08B94" w:rsidR="008A0F15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</w:t>
      </w:r>
      <w:r w:rsidR="008A0F15">
        <w:rPr>
          <w:rFonts w:ascii="Times New Roman" w:hAnsi="Times New Roman"/>
          <w:szCs w:val="26"/>
        </w:rPr>
        <w:t>УТВЕРЖДЕН</w:t>
      </w:r>
    </w:p>
    <w:p w14:paraId="7E2A9997" w14:textId="1074326E" w:rsidR="000E7B6D" w:rsidRDefault="000E7B6D" w:rsidP="000E7B6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</w:t>
      </w:r>
      <w:r w:rsidR="008A0F15">
        <w:rPr>
          <w:rFonts w:ascii="Times New Roman" w:hAnsi="Times New Roman"/>
          <w:szCs w:val="26"/>
        </w:rPr>
        <w:t xml:space="preserve">постановлением </w:t>
      </w:r>
    </w:p>
    <w:p w14:paraId="256F5590" w14:textId="77777777" w:rsidR="000E7B6D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администрации Чебоксарского</w:t>
      </w:r>
    </w:p>
    <w:p w14:paraId="4270E1A8" w14:textId="3B322963" w:rsidR="008A0F15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района Чувашской Республики </w:t>
      </w:r>
    </w:p>
    <w:p w14:paraId="7F8DC6A4" w14:textId="1465EE77" w:rsidR="008A0F15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«___»________ 20</w:t>
      </w:r>
      <w:r w:rsidR="000E7B6D">
        <w:rPr>
          <w:rFonts w:ascii="Times New Roman" w:hAnsi="Times New Roman"/>
          <w:szCs w:val="26"/>
        </w:rPr>
        <w:t>22 года</w:t>
      </w:r>
      <w:r>
        <w:rPr>
          <w:rFonts w:ascii="Times New Roman" w:hAnsi="Times New Roman"/>
          <w:szCs w:val="26"/>
        </w:rPr>
        <w:t xml:space="preserve"> №____</w:t>
      </w:r>
    </w:p>
    <w:p w14:paraId="7D0A6EE5" w14:textId="77777777" w:rsidR="008A0F15" w:rsidRDefault="008A0F15" w:rsidP="008A0F15">
      <w:pPr>
        <w:jc w:val="right"/>
        <w:rPr>
          <w:rFonts w:ascii="Times New Roman" w:hAnsi="Times New Roman"/>
          <w:szCs w:val="26"/>
        </w:rPr>
      </w:pPr>
    </w:p>
    <w:p w14:paraId="144D47FF" w14:textId="77777777" w:rsidR="008A0F15" w:rsidRPr="006E4802" w:rsidRDefault="008A0F15" w:rsidP="008A0F15">
      <w:pPr>
        <w:pStyle w:val="aa"/>
        <w:jc w:val="center"/>
        <w:rPr>
          <w:color w:val="262626"/>
        </w:rPr>
      </w:pPr>
      <w:r w:rsidRPr="006E4802">
        <w:rPr>
          <w:rStyle w:val="a9"/>
          <w:color w:val="262626"/>
        </w:rPr>
        <w:t>П А С П О Р Т</w:t>
      </w:r>
    </w:p>
    <w:p w14:paraId="73CFBE67" w14:textId="392FCCFF" w:rsidR="008A0F15" w:rsidRDefault="008A0F15" w:rsidP="008A0F15">
      <w:pPr>
        <w:pStyle w:val="aa"/>
        <w:jc w:val="center"/>
        <w:rPr>
          <w:rStyle w:val="a9"/>
          <w:color w:val="262626"/>
        </w:rPr>
      </w:pPr>
      <w:r w:rsidRPr="006E4802">
        <w:rPr>
          <w:b/>
          <w:color w:val="000000"/>
        </w:rPr>
        <w:t>муниципальной</w:t>
      </w:r>
      <w:r w:rsidRPr="006E4802">
        <w:rPr>
          <w:rStyle w:val="a9"/>
          <w:color w:val="262626"/>
        </w:rPr>
        <w:t xml:space="preserve"> программы администрации Чебоксарского </w:t>
      </w:r>
      <w:r w:rsidR="005434C3">
        <w:rPr>
          <w:rStyle w:val="a9"/>
          <w:color w:val="262626"/>
        </w:rPr>
        <w:t>муниципального округа</w:t>
      </w:r>
      <w:r w:rsidRPr="006E4802">
        <w:rPr>
          <w:rStyle w:val="a9"/>
          <w:color w:val="262626"/>
        </w:rPr>
        <w:t xml:space="preserve"> </w:t>
      </w:r>
    </w:p>
    <w:p w14:paraId="03C85B2D" w14:textId="77777777" w:rsidR="008A0F15" w:rsidRPr="006E4802" w:rsidRDefault="008A0F15" w:rsidP="008A0F15">
      <w:pPr>
        <w:pStyle w:val="aa"/>
        <w:jc w:val="center"/>
        <w:rPr>
          <w:color w:val="262626"/>
        </w:rPr>
      </w:pPr>
      <w:r w:rsidRPr="006E4802">
        <w:rPr>
          <w:rStyle w:val="a9"/>
          <w:color w:val="262626"/>
        </w:rPr>
        <w:t>Чувашской Республики</w:t>
      </w:r>
      <w:r>
        <w:rPr>
          <w:rStyle w:val="a9"/>
          <w:color w:val="262626"/>
        </w:rPr>
        <w:t xml:space="preserve"> </w:t>
      </w:r>
      <w:r w:rsidRPr="006E4802">
        <w:rPr>
          <w:rStyle w:val="a9"/>
          <w:color w:val="262626"/>
        </w:rPr>
        <w:t>«Развитие земельных и имущественных отношений»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8"/>
        <w:gridCol w:w="420"/>
        <w:gridCol w:w="6671"/>
      </w:tblGrid>
      <w:tr w:rsidR="008A0F15" w:rsidRPr="006E4802" w14:paraId="2C7EF5A8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743C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Ответственный </w:t>
            </w:r>
            <w:r w:rsidRPr="006E4802">
              <w:rPr>
                <w:color w:val="000000"/>
              </w:rPr>
              <w:t xml:space="preserve">муниципальной </w:t>
            </w:r>
            <w:r w:rsidRPr="006E4802">
              <w:rPr>
                <w:color w:val="262626"/>
              </w:rPr>
              <w:t>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E060E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FBE9" w14:textId="1ABED92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Отдел имущественных и земельных  отношений </w:t>
            </w:r>
            <w:r w:rsidR="003605D7">
              <w:rPr>
                <w:color w:val="262626"/>
              </w:rPr>
              <w:t xml:space="preserve">                    </w:t>
            </w:r>
            <w:r w:rsidRPr="006E4802">
              <w:rPr>
                <w:color w:val="262626"/>
              </w:rPr>
              <w:t xml:space="preserve">администрации Чебоксарского </w:t>
            </w:r>
            <w:r w:rsidR="005434C3">
              <w:rPr>
                <w:color w:val="262626"/>
              </w:rPr>
              <w:t xml:space="preserve">муниципального округа </w:t>
            </w:r>
            <w:r w:rsidR="003605D7">
              <w:rPr>
                <w:color w:val="262626"/>
              </w:rPr>
              <w:t xml:space="preserve">           </w:t>
            </w:r>
            <w:r w:rsidR="005434C3">
              <w:rPr>
                <w:color w:val="262626"/>
              </w:rPr>
              <w:t xml:space="preserve">Чебоксарского района </w:t>
            </w:r>
            <w:r w:rsidRPr="006E4802">
              <w:rPr>
                <w:color w:val="262626"/>
              </w:rPr>
              <w:t xml:space="preserve"> Чувашской Республики (далее – </w:t>
            </w:r>
            <w:r w:rsidR="003605D7">
              <w:rPr>
                <w:color w:val="262626"/>
              </w:rPr>
              <w:t xml:space="preserve">              </w:t>
            </w:r>
            <w:r w:rsidRPr="006E4802">
              <w:rPr>
                <w:color w:val="262626"/>
              </w:rPr>
              <w:t>Отдел)</w:t>
            </w:r>
          </w:p>
        </w:tc>
      </w:tr>
      <w:tr w:rsidR="008A0F15" w:rsidRPr="006E4802" w14:paraId="15A860A3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309F8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Участники </w:t>
            </w:r>
            <w:r w:rsidRPr="006E4802">
              <w:rPr>
                <w:color w:val="000000"/>
              </w:rPr>
              <w:t>муниципальной</w:t>
            </w:r>
            <w:r w:rsidRPr="006E4802">
              <w:rPr>
                <w:color w:val="262626"/>
              </w:rPr>
              <w:t xml:space="preserve">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2441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9F2E7" w14:textId="27512605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t xml:space="preserve">структурные подразделения администрации Чебоксарского </w:t>
            </w:r>
            <w:r w:rsidR="005434C3">
              <w:t>муниципального округа Чебоксарского района Чувашской Республики</w:t>
            </w:r>
            <w:r w:rsidRPr="006E4802">
              <w:t xml:space="preserve">, </w:t>
            </w:r>
            <w:r w:rsidRPr="006E4802">
              <w:rPr>
                <w:color w:val="000000"/>
              </w:rPr>
              <w:t xml:space="preserve"> предприятия, организации  и  учреждения Чебоксарского района</w:t>
            </w:r>
            <w:r>
              <w:rPr>
                <w:color w:val="000000"/>
              </w:rPr>
              <w:t xml:space="preserve"> </w:t>
            </w:r>
            <w:r w:rsidRPr="006E4802">
              <w:t>(по согласованию)</w:t>
            </w:r>
          </w:p>
        </w:tc>
      </w:tr>
      <w:tr w:rsidR="008A0F15" w:rsidRPr="006E4802" w14:paraId="73FA4D5C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0316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Подпрограммы </w:t>
            </w:r>
            <w:r w:rsidRPr="006E4802">
              <w:rPr>
                <w:color w:val="000000"/>
              </w:rPr>
              <w:t xml:space="preserve">муниципальной </w:t>
            </w:r>
            <w:r w:rsidRPr="006E4802">
              <w:rPr>
                <w:color w:val="262626"/>
              </w:rPr>
              <w:t>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353D5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4017F" w14:textId="6F2C5C90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«Управление муниципальным имуществом»</w:t>
            </w:r>
          </w:p>
        </w:tc>
      </w:tr>
      <w:tr w:rsidR="008A0F15" w:rsidRPr="006E4802" w14:paraId="1F221B0E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6B5A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Цели муниципальной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3FC52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3AD28" w14:textId="5FF293D2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повышение эффективности управления муниципальным имуществом  Чебоксарского </w:t>
            </w:r>
            <w:r w:rsidR="005434C3"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 w:rsidR="003605D7">
              <w:rPr>
                <w:color w:val="262626"/>
              </w:rPr>
              <w:t xml:space="preserve">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2066A96E" w14:textId="1643BF8F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оптимизация состава и структуры муниципального </w:t>
            </w:r>
            <w:r w:rsidR="003605D7">
              <w:rPr>
                <w:color w:val="262626"/>
              </w:rPr>
              <w:t xml:space="preserve">               </w:t>
            </w:r>
            <w:r w:rsidRPr="006E4802">
              <w:rPr>
                <w:color w:val="262626"/>
              </w:rPr>
              <w:t xml:space="preserve">имущества  Чебоксарского </w:t>
            </w:r>
            <w:r w:rsidR="005434C3"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 w:rsidR="003605D7">
              <w:rPr>
                <w:color w:val="262626"/>
              </w:rPr>
              <w:t xml:space="preserve">      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1D7EA8E5" w14:textId="2958C754" w:rsidR="008A0F15" w:rsidRPr="003A5385" w:rsidRDefault="008A0F15" w:rsidP="007120AE">
            <w:pPr>
              <w:pStyle w:val="aa"/>
              <w:rPr>
                <w:color w:val="262626"/>
              </w:rPr>
            </w:pPr>
          </w:p>
        </w:tc>
      </w:tr>
      <w:tr w:rsidR="008A0F15" w:rsidRPr="006E4802" w14:paraId="7ECB0E72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4B4F6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Задачи муниципальной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F2924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C0CBA" w14:textId="79A6BA02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 xml:space="preserve">создание условий для эффективного управления </w:t>
            </w:r>
            <w:r w:rsidR="003605D7">
              <w:rPr>
                <w:color w:val="262626"/>
              </w:rPr>
              <w:t xml:space="preserve">                         </w:t>
            </w:r>
            <w:r w:rsidRPr="00CB1EBB">
              <w:rPr>
                <w:color w:val="262626"/>
              </w:rPr>
              <w:t xml:space="preserve">муниципальным имуществом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 xml:space="preserve"> муниципального округа Чувашской Республики;</w:t>
            </w:r>
          </w:p>
          <w:p w14:paraId="51C10500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74E9AB23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14:paraId="43574B43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06EF1266" w14:textId="45DF8E70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>создание единой системы учета муниципального имуще</w:t>
            </w:r>
            <w:r w:rsidRPr="00CB1EBB">
              <w:rPr>
                <w:color w:val="262626"/>
              </w:rPr>
              <w:lastRenderedPageBreak/>
              <w:t xml:space="preserve">ства </w:t>
            </w:r>
            <w:r>
              <w:rPr>
                <w:color w:val="262626"/>
              </w:rPr>
              <w:t>Чебоксарского</w:t>
            </w:r>
            <w:r w:rsidRPr="00CB1EBB">
              <w:rPr>
                <w:color w:val="262626"/>
              </w:rPr>
              <w:t xml:space="preserve"> муниципального округа Чувашской Республики;</w:t>
            </w:r>
          </w:p>
          <w:p w14:paraId="1CA18A5B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7C457A7B" w14:textId="43C7CDC7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 xml:space="preserve">повышение эффективности использования средств бюджета </w:t>
            </w:r>
            <w:r>
              <w:rPr>
                <w:color w:val="262626"/>
              </w:rPr>
              <w:t>Чебоксарского</w:t>
            </w:r>
            <w:r w:rsidRPr="00CB1EBB">
              <w:rPr>
                <w:color w:val="262626"/>
              </w:rPr>
              <w:t xml:space="preserve">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>муниципального округа Чувашской Республики;</w:t>
            </w:r>
          </w:p>
          <w:p w14:paraId="1078AE15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00BB169A" w14:textId="30FB17A1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 xml:space="preserve"> муниципального округа Чувашской Республики;</w:t>
            </w:r>
          </w:p>
          <w:p w14:paraId="245EC38D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6E599C38" w14:textId="566FD08D" w:rsidR="008A0F15" w:rsidRPr="006E4802" w:rsidRDefault="00CB1EBB" w:rsidP="00CB1EBB">
            <w:pPr>
              <w:pStyle w:val="aa"/>
              <w:rPr>
                <w:color w:val="262626"/>
              </w:rPr>
            </w:pPr>
            <w:r>
              <w:rPr>
                <w:color w:val="262626"/>
              </w:rPr>
              <w:t>о</w:t>
            </w:r>
            <w:r w:rsidRPr="00CB1EBB">
              <w:rPr>
                <w:color w:val="262626"/>
              </w:rPr>
              <w:t>птимизация и повышение качества предоставления муниципальных услуг и исполнения функций отдела</w:t>
            </w:r>
            <w:r>
              <w:rPr>
                <w:color w:val="262626"/>
              </w:rPr>
              <w:t xml:space="preserve"> </w:t>
            </w:r>
          </w:p>
        </w:tc>
      </w:tr>
      <w:tr w:rsidR="008A0F15" w:rsidRPr="006E4802" w14:paraId="525D9735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6203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Целевые индикаторы и показатели муниципальной й програм</w:t>
            </w:r>
            <w:r w:rsidRPr="006E4802">
              <w:rPr>
                <w:color w:val="262626"/>
              </w:rPr>
              <w:softHyphen/>
              <w:t>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F31CD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6726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достижение к 2036 году следующих целевых индикаторов и показателей:</w:t>
            </w:r>
          </w:p>
          <w:p w14:paraId="074050C3" w14:textId="0BEC8363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доля муниципального  имущества Чебоксарского </w:t>
            </w:r>
            <w:r w:rsidR="00CB1EBB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Республики, вовлеченного в хозяйственный оборот– 100,0 процента;</w:t>
            </w:r>
          </w:p>
          <w:p w14:paraId="4966ECCE" w14:textId="56325328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отношение суммы дивидендов (чистой прибыли) по пакетам акций (долям) хозяйственных обществ, принадлежащим Чебоксарскому </w:t>
            </w:r>
            <w:r w:rsidR="00CB1EBB">
              <w:rPr>
                <w:color w:val="262626"/>
              </w:rPr>
              <w:t xml:space="preserve">муниципальному округу </w:t>
            </w:r>
            <w:r w:rsidRPr="006E4802">
              <w:rPr>
                <w:color w:val="262626"/>
              </w:rPr>
              <w:t xml:space="preserve"> Чувашской Республике, фактически поступившей в районный бюджет Чебоксарского </w:t>
            </w:r>
            <w:r w:rsidR="00CB1EBB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 Чувашской Республики, к сумме дивидендов (чистой прибыли), подлежащей перечислению в районный бюджет в соответствии с решениями собраний акционеров (участников) в отчетном году – 100,0 процента;</w:t>
            </w:r>
          </w:p>
          <w:p w14:paraId="0C977BDF" w14:textId="234002B9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доля площади земельных участков, находящихся в муниципальной собственности Чебоксарского </w:t>
            </w:r>
            <w:r w:rsidR="00CB1EBB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 собственности Чебоксарского </w:t>
            </w:r>
            <w:r w:rsidR="00CB1EBB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Чувашской Республики (за исключением земельных участков, изъятых из оборота и ограниченных в обороте), – 100,0 </w:t>
            </w:r>
            <w:r w:rsidRPr="006E4802">
              <w:rPr>
                <w:color w:val="262626"/>
              </w:rPr>
              <w:lastRenderedPageBreak/>
              <w:t>процента</w:t>
            </w:r>
            <w:r>
              <w:rPr>
                <w:color w:val="262626"/>
              </w:rPr>
              <w:t>.</w:t>
            </w:r>
          </w:p>
          <w:p w14:paraId="2A77D61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 </w:t>
            </w:r>
          </w:p>
        </w:tc>
      </w:tr>
      <w:tr w:rsidR="008A0F15" w:rsidRPr="006E4802" w14:paraId="47E1DA5C" w14:textId="77777777" w:rsidTr="007120AE">
        <w:trPr>
          <w:trHeight w:val="2169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EBE7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E5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11C43" w14:textId="62B8FAC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20</w:t>
            </w:r>
            <w:r w:rsidR="00CB1EBB">
              <w:rPr>
                <w:color w:val="262626"/>
              </w:rPr>
              <w:t>2</w:t>
            </w:r>
            <w:r w:rsidR="003605D7" w:rsidRPr="00F00C0E">
              <w:rPr>
                <w:color w:val="262626"/>
              </w:rPr>
              <w:t>3</w:t>
            </w:r>
            <w:r w:rsidRPr="006E4802">
              <w:rPr>
                <w:color w:val="262626"/>
              </w:rPr>
              <w:t>–2035 годы:</w:t>
            </w:r>
          </w:p>
          <w:p w14:paraId="1715EBEB" w14:textId="7EC2745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1 этап – 20</w:t>
            </w:r>
            <w:r w:rsidR="00CB1EBB">
              <w:rPr>
                <w:color w:val="262626"/>
              </w:rPr>
              <w:t>2</w:t>
            </w:r>
            <w:r w:rsidR="003605D7" w:rsidRPr="00F00C0E">
              <w:rPr>
                <w:color w:val="262626"/>
              </w:rPr>
              <w:t>3</w:t>
            </w:r>
            <w:r w:rsidRPr="006E4802">
              <w:rPr>
                <w:color w:val="262626"/>
              </w:rPr>
              <w:t>–2025 годы;</w:t>
            </w:r>
          </w:p>
          <w:p w14:paraId="3F0844F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2 этап – 2026–2030 годы;</w:t>
            </w:r>
          </w:p>
          <w:p w14:paraId="3B4B03E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3 этап – 2031–2035 годы</w:t>
            </w:r>
            <w:r>
              <w:rPr>
                <w:color w:val="262626"/>
              </w:rPr>
              <w:t>.</w:t>
            </w:r>
          </w:p>
        </w:tc>
      </w:tr>
      <w:tr w:rsidR="008A0F15" w:rsidRPr="006E4802" w14:paraId="0A8B8472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2D7A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838E0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DD572" w14:textId="5F60C824" w:rsidR="00CB1EBB" w:rsidRPr="003605D7" w:rsidRDefault="00CB1EBB" w:rsidP="00CB1E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муниципальной программы в 202</w:t>
            </w:r>
            <w:r w:rsidR="003605D7" w:rsidRPr="0036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 xml:space="preserve">–2035 годах составляет: </w:t>
            </w:r>
            <w:r w:rsidR="003605D7" w:rsidRPr="003605D7">
              <w:rPr>
                <w:rFonts w:ascii="Times New Roman" w:hAnsi="Times New Roman" w:cs="Times New Roman"/>
                <w:sz w:val="24"/>
                <w:szCs w:val="24"/>
              </w:rPr>
              <w:t>193 336,0</w:t>
            </w: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0273A187" w14:textId="0C3ADF02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3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968,7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9087171" w14:textId="498A020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876,6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3F4B4C6" w14:textId="4E7BB5A2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16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953,7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DC7EDAB" w14:textId="67152AA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84</w:t>
            </w:r>
            <w:r w:rsidR="003605D7" w:rsidRPr="003605D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768,5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9F57584" w14:textId="7FF2F1C6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84</w:t>
            </w:r>
            <w:r w:rsidR="003605D7" w:rsidRPr="003605D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768,5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8AA0BDC" w14:textId="77777777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14:paraId="2E95FEFE" w14:textId="6320F4BF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163 387,4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14:paraId="4B642AB8" w14:textId="77777777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046308F" w14:textId="31E8879D" w:rsidR="00873864" w:rsidRPr="003605D7" w:rsidRDefault="00873864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876AFC" w:rsidRPr="003605D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85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3.4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03CC447" w14:textId="1D605266" w:rsidR="003605D7" w:rsidRPr="003605D7" w:rsidRDefault="003605D7" w:rsidP="003605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2026–2030 годах – 74 267,0 тыс. рублей;</w:t>
            </w:r>
          </w:p>
          <w:p w14:paraId="4EE018E4" w14:textId="607B3B49" w:rsidR="003605D7" w:rsidRPr="003605D7" w:rsidRDefault="003605D7" w:rsidP="003605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2031–2035 годах – 74 267,0 тыс. рублей;</w:t>
            </w:r>
          </w:p>
          <w:p w14:paraId="2B294592" w14:textId="7AF3D673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7 497,0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14:paraId="7064FA96" w14:textId="372DE809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259,2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CEE3FF4" w14:textId="772B739D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174,5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B187066" w14:textId="3F3A1EFC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460,3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39CBD2A" w14:textId="207EEE9D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2 301,5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F11D25D" w14:textId="4094C770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2 301,5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9C03F63" w14:textId="67D12084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бюджета Чебоксарского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22 451,6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45CDECA4" w14:textId="26B3FBB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709,5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7FC3064" w14:textId="61CB6D45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702,1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0D91383" w14:textId="542BE434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1 640,0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2CE88B7" w14:textId="32DE8D90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8 2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14:paraId="585FC5B2" w14:textId="1EE98BA8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8 2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14:paraId="6D30291C" w14:textId="77777777" w:rsidR="00CB1EBB" w:rsidRPr="003605D7" w:rsidRDefault="00CB1EBB" w:rsidP="00CB1EBB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FB40" w14:textId="6BA60324" w:rsidR="008A0F15" w:rsidRPr="003605D7" w:rsidRDefault="00CB1EBB" w:rsidP="00CB1EBB">
            <w:pPr>
              <w:pStyle w:val="aa"/>
              <w:rPr>
                <w:color w:val="262626"/>
              </w:rPr>
            </w:pPr>
            <w:r w:rsidRPr="003605D7"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8A0F15" w:rsidRPr="006E4802" w14:paraId="02318B9A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4B3C0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Ожидаемые результаты реализации муниципальной 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09848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EB93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реализация муниципальной  программы позволит:</w:t>
            </w:r>
          </w:p>
          <w:p w14:paraId="1244D352" w14:textId="42850B69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оптимизировать состав и структуру муниципального секто</w:t>
            </w:r>
            <w:r w:rsidRPr="006E4802">
              <w:rPr>
                <w:color w:val="262626"/>
              </w:rPr>
              <w:lastRenderedPageBreak/>
              <w:t xml:space="preserve">ра экономики Чебоксарского  </w:t>
            </w:r>
            <w:r w:rsidR="003A5385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 Республики и обеспечить его эффективное функционирование;</w:t>
            </w:r>
          </w:p>
          <w:p w14:paraId="756B9DD1" w14:textId="4D2CC97B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обеспечить совершенствование системы учета и мониторинга муниципального имущества Чебоксарского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 в единой системе учета муниципального имущества;</w:t>
            </w:r>
          </w:p>
          <w:p w14:paraId="3C92617F" w14:textId="7B813416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повысить инвестиционную привлекательность Чебоксарского </w:t>
            </w:r>
            <w:r w:rsidR="008619D0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56B327AB" w14:textId="7FB6F226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увеличить доходы консолидированного бюджета Чебоксарского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32059F7E" w14:textId="1559171E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оптимизировать расходы бюджета Чебоксарского </w:t>
            </w:r>
            <w:r w:rsidR="008619D0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 Чувашской Республики, предусмотренные на содержание имущества, закрепленного на праве оперативного управления за муниципальными учреждениями Чебоксарского </w:t>
            </w:r>
            <w:r w:rsidR="008619D0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 Чувашской Республики, казенными унитарными предприятиями Чебоксарского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1CC46C7B" w14:textId="3527791E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создать условия для наиболее полной реализации функций муниципального  управления и развития Чебоксарского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36827E0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обеспечить развитие системы межведомственного информационного взаимодействия;</w:t>
            </w:r>
          </w:p>
          <w:p w14:paraId="4728C59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повысить качество оказываемых государственных услуг и сократить сроки их предоставления.</w:t>
            </w:r>
          </w:p>
        </w:tc>
      </w:tr>
    </w:tbl>
    <w:p w14:paraId="41C54094" w14:textId="77777777" w:rsidR="008A0F15" w:rsidRPr="006E4802" w:rsidRDefault="008A0F15" w:rsidP="008A0F15">
      <w:pPr>
        <w:ind w:firstLine="709"/>
        <w:rPr>
          <w:rFonts w:ascii="Times New Roman" w:hAnsi="Times New Roman"/>
          <w:sz w:val="24"/>
          <w:szCs w:val="24"/>
        </w:rPr>
      </w:pPr>
    </w:p>
    <w:p w14:paraId="7E495493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5E3E950B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1E8BAC3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85196AA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D0DF110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4AE5F603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694FF1D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D0BED20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0E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CF96" w14:textId="77777777" w:rsidR="001C35BB" w:rsidRDefault="001C35BB">
      <w:r>
        <w:separator/>
      </w:r>
    </w:p>
  </w:endnote>
  <w:endnote w:type="continuationSeparator" w:id="0">
    <w:p w14:paraId="57F34374" w14:textId="77777777" w:rsidR="001C35BB" w:rsidRDefault="001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CE6" w14:textId="77777777" w:rsidR="00B84807" w:rsidRDefault="00B848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C691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24A5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C35BB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480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4807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1497" w14:textId="77777777" w:rsidR="001C35BB" w:rsidRDefault="001C35BB">
      <w:r>
        <w:separator/>
      </w:r>
    </w:p>
  </w:footnote>
  <w:footnote w:type="continuationSeparator" w:id="0">
    <w:p w14:paraId="5B01D20B" w14:textId="77777777" w:rsidR="001C35BB" w:rsidRDefault="001C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9932" w14:textId="77777777" w:rsidR="00B84807" w:rsidRDefault="00B848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02B" w14:textId="77777777" w:rsidR="00B84807" w:rsidRDefault="00B848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3A62F56F" w14:textId="77777777" w:rsidTr="00BC4C72">
      <w:tc>
        <w:tcPr>
          <w:tcW w:w="3285" w:type="dxa"/>
          <w:shd w:val="clear" w:color="auto" w:fill="auto"/>
        </w:tcPr>
        <w:p w14:paraId="6076FD02" w14:textId="52CBAE51" w:rsidR="003652FF" w:rsidRPr="00AD02C4" w:rsidRDefault="00F00C0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CC94CBF" wp14:editId="589E7A6E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4FD51DA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3DDF670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3E80962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660DB78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747847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44CDA89C" w14:textId="77777777" w:rsidTr="00A527F6">
            <w:tc>
              <w:tcPr>
                <w:tcW w:w="1413" w:type="dxa"/>
              </w:tcPr>
              <w:p w14:paraId="4DB0FCA7" w14:textId="4358E57C" w:rsidR="00BC4C72" w:rsidRPr="00A527F6" w:rsidRDefault="00B84807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09.11.2022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9D97A72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73B30D8" w14:textId="6C102B45" w:rsidR="00BC4C72" w:rsidRPr="00A527F6" w:rsidRDefault="00B84807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1437</w:t>
                </w:r>
              </w:p>
            </w:tc>
          </w:tr>
        </w:tbl>
        <w:p w14:paraId="20CA2FD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079AAD78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53FD7D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3ED5DDA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2DA5D5C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4E06A89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707E109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2F4EDD4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C63B13B" w14:textId="77777777" w:rsidTr="00BC4C72">
            <w:tc>
              <w:tcPr>
                <w:tcW w:w="1413" w:type="dxa"/>
              </w:tcPr>
              <w:p w14:paraId="7F8C9D39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0789422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CD7C314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792EB8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016E772C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05DE9048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37915698">
    <w:abstractNumId w:val="0"/>
  </w:num>
  <w:num w:numId="2" w16cid:durableId="2030329061">
    <w:abstractNumId w:val="1"/>
  </w:num>
  <w:num w:numId="3" w16cid:durableId="126688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BB"/>
    <w:rsid w:val="000B2461"/>
    <w:rsid w:val="000D575A"/>
    <w:rsid w:val="000E2583"/>
    <w:rsid w:val="000E7B6D"/>
    <w:rsid w:val="00107F11"/>
    <w:rsid w:val="001460B2"/>
    <w:rsid w:val="0017767D"/>
    <w:rsid w:val="001A4D80"/>
    <w:rsid w:val="001C35BB"/>
    <w:rsid w:val="002863DC"/>
    <w:rsid w:val="003605D7"/>
    <w:rsid w:val="003652FF"/>
    <w:rsid w:val="00367432"/>
    <w:rsid w:val="003A5385"/>
    <w:rsid w:val="003C7636"/>
    <w:rsid w:val="003F5BE4"/>
    <w:rsid w:val="00462425"/>
    <w:rsid w:val="00466C7A"/>
    <w:rsid w:val="004D2D4A"/>
    <w:rsid w:val="00504082"/>
    <w:rsid w:val="00527375"/>
    <w:rsid w:val="005434C3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619D0"/>
    <w:rsid w:val="00873864"/>
    <w:rsid w:val="00876AFC"/>
    <w:rsid w:val="008A0F15"/>
    <w:rsid w:val="008E2BE5"/>
    <w:rsid w:val="008F5F8F"/>
    <w:rsid w:val="009625EA"/>
    <w:rsid w:val="009D6852"/>
    <w:rsid w:val="00A229BE"/>
    <w:rsid w:val="00A258DC"/>
    <w:rsid w:val="00A508C7"/>
    <w:rsid w:val="00A527F6"/>
    <w:rsid w:val="00AA1C3C"/>
    <w:rsid w:val="00AD02C4"/>
    <w:rsid w:val="00B21053"/>
    <w:rsid w:val="00B84807"/>
    <w:rsid w:val="00BC4C72"/>
    <w:rsid w:val="00C95265"/>
    <w:rsid w:val="00CB1EBB"/>
    <w:rsid w:val="00CB7E29"/>
    <w:rsid w:val="00D61F6B"/>
    <w:rsid w:val="00DE328D"/>
    <w:rsid w:val="00DE756C"/>
    <w:rsid w:val="00DF761C"/>
    <w:rsid w:val="00E417C9"/>
    <w:rsid w:val="00F00C0E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E05CC3"/>
  <w15:docId w15:val="{DDE4EE69-8C5E-49D9-9F17-8C2FD08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8A0F15"/>
    <w:rPr>
      <w:sz w:val="26"/>
    </w:rPr>
  </w:style>
  <w:style w:type="character" w:styleId="a9">
    <w:name w:val="Strong"/>
    <w:uiPriority w:val="22"/>
    <w:qFormat/>
    <w:rsid w:val="008A0F15"/>
    <w:rPr>
      <w:b/>
      <w:bCs/>
    </w:rPr>
  </w:style>
  <w:style w:type="paragraph" w:customStyle="1" w:styleId="ConsPlusNormal">
    <w:name w:val="ConsPlusNormal"/>
    <w:link w:val="ConsPlusNormal0"/>
    <w:rsid w:val="008A0F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A0F15"/>
    <w:rPr>
      <w:rFonts w:ascii="Calibri" w:hAnsi="Calibri" w:cs="Calibri"/>
      <w:sz w:val="22"/>
    </w:rPr>
  </w:style>
  <w:style w:type="paragraph" w:styleId="aa">
    <w:name w:val="Normal (Web)"/>
    <w:basedOn w:val="a"/>
    <w:uiPriority w:val="99"/>
    <w:unhideWhenUsed/>
    <w:rsid w:val="008A0F15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Чеб. р-н - Константинова И.В.</cp:lastModifiedBy>
  <cp:revision>2</cp:revision>
  <cp:lastPrinted>2009-12-31T06:51:00Z</cp:lastPrinted>
  <dcterms:created xsi:type="dcterms:W3CDTF">2022-11-11T09:44:00Z</dcterms:created>
  <dcterms:modified xsi:type="dcterms:W3CDTF">2022-11-11T09:44:00Z</dcterms:modified>
</cp:coreProperties>
</file>