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0E" w:rsidRDefault="0011610E" w:rsidP="0011610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Признать утратившим силу приказ Министерства экономического развития и имущественных отношений Чувашской Республики от 14 января 2022 г. N 4 </w:t>
      </w:r>
      <w:r w:rsidR="00E96E90">
        <w:t>"</w:t>
      </w:r>
      <w:r>
        <w:t>Об утверждении среднего уровня кадастровой стоимости земельных участков на территории Чувашской Республики" (зарегистрирован в Государственной службе Чувашской Республики по делам юстиции 7 февраля 2022 г., регистрационный N 7491).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министра экономического развития и имущественных отношений Чувашской Республики </w:t>
      </w:r>
      <w:proofErr w:type="spellStart"/>
      <w:r>
        <w:t>И.Н.Крылову</w:t>
      </w:r>
      <w:proofErr w:type="spellEnd"/>
      <w:r>
        <w:t>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>Чувашской Республики - министр экономического</w:t>
      </w:r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>Чувашской Республики                                                                                         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E"/>
    <w:rsid w:val="00010A5E"/>
    <w:rsid w:val="0011610E"/>
    <w:rsid w:val="00744504"/>
    <w:rsid w:val="00832659"/>
    <w:rsid w:val="00D9018D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34D8-23A7-48AA-84D4-E31157B0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Заведующий сектором имущественных и земельных отношений администрации Янтиковского района</cp:lastModifiedBy>
  <cp:revision>2</cp:revision>
  <dcterms:created xsi:type="dcterms:W3CDTF">2023-02-01T13:03:00Z</dcterms:created>
  <dcterms:modified xsi:type="dcterms:W3CDTF">2023-02-01T13:03:00Z</dcterms:modified>
</cp:coreProperties>
</file>