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7E58EA" w:rsidRDefault="007E58EA" w:rsidP="00647F5F">
      <w:pPr>
        <w:tabs>
          <w:tab w:val="left" w:pos="5970"/>
        </w:tabs>
        <w:jc w:val="center"/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7E58EA" w:rsidRDefault="007E58EA" w:rsidP="007E58EA">
      <w:pPr>
        <w:pStyle w:val="ConsNonformat"/>
        <w:widowControl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УЧАСТКА, НАХОДЯЩЕГОСЯ В</w:t>
      </w:r>
    </w:p>
    <w:p w:rsidR="007E58EA" w:rsidRDefault="000B62F2" w:rsidP="007E58EA">
      <w:pPr>
        <w:pStyle w:val="ConsNonformat"/>
        <w:widowControl/>
        <w:ind w:left="708" w:firstLine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ГОСУДАРСТВЕННОЦ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г. Алатырь 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«__» ________202</w:t>
      </w:r>
      <w:r w:rsidR="00647F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>Алатырского района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администрации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44A" w:rsidRPr="00C1244A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1244A">
        <w:rPr>
          <w:rFonts w:ascii="Times New Roman" w:hAnsi="Times New Roman" w:cs="Times New Roman"/>
          <w:b/>
          <w:sz w:val="24"/>
          <w:szCs w:val="24"/>
        </w:rPr>
        <w:t>21:06:000000:1821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1244A">
        <w:rPr>
          <w:rFonts w:ascii="Times New Roman" w:hAnsi="Times New Roman" w:cs="Times New Roman"/>
          <w:sz w:val="24"/>
          <w:szCs w:val="24"/>
        </w:rPr>
        <w:t>1131775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Ахматовское,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C1244A">
        <w:rPr>
          <w:rFonts w:ascii="Times New Roman" w:hAnsi="Times New Roman" w:cs="Times New Roman"/>
          <w:b/>
          <w:sz w:val="24"/>
          <w:szCs w:val="24"/>
        </w:rPr>
        <w:t>выращивание зерновых и иных сельскохозяйственных культур.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Правообладатель участка: </w:t>
      </w:r>
      <w:r w:rsidR="000B62F2"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обременения) права: 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0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0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1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1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2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2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7.1. Все споры между Сторонами, возникающие по Договору, рассматриваются Арбитражным судом Чувашской Республики в соответствии с законодательством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26E3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bookmarkStart w:id="3" w:name="_GoBack"/>
      <w:r w:rsidRPr="00126E36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26E36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26E36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26E3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26E36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26E3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26E36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26E3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26E36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26E36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26E36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26E36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7E58EA" w:rsidRDefault="007E58E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>429810, Чувашская Республика,</w:t>
                  </w:r>
                  <w:r w:rsidR="00C1244A">
                    <w:rPr>
                      <w:lang w:eastAsia="ru-RU"/>
                    </w:rPr>
                    <w:t xml:space="preserve"> </w:t>
                  </w:r>
                  <w:r w:rsidRPr="00404916">
                    <w:rPr>
                      <w:lang w:eastAsia="ru-RU"/>
                    </w:rPr>
                    <w:t>Алатырский р-н,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C3B60" w:rsidRPr="00404916" w:rsidRDefault="004C3B60" w:rsidP="000B0C71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5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013050000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120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26E36"/>
    <w:rsid w:val="00294C2B"/>
    <w:rsid w:val="0032462A"/>
    <w:rsid w:val="004572A5"/>
    <w:rsid w:val="004C3B60"/>
    <w:rsid w:val="005717C2"/>
    <w:rsid w:val="005C696C"/>
    <w:rsid w:val="00647F5F"/>
    <w:rsid w:val="007E58EA"/>
    <w:rsid w:val="00916566"/>
    <w:rsid w:val="00A753C1"/>
    <w:rsid w:val="00A92BE7"/>
    <w:rsid w:val="00BE4472"/>
    <w:rsid w:val="00C1244A"/>
    <w:rsid w:val="00D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2020-10-09T06:34:00Z</dcterms:created>
  <dcterms:modified xsi:type="dcterms:W3CDTF">2022-08-15T07:37:00Z</dcterms:modified>
</cp:coreProperties>
</file>