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A7" w:rsidRPr="002010A7" w:rsidRDefault="002010A7" w:rsidP="00322387">
      <w:pPr>
        <w:ind w:left="0"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010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рекомендациях по питанию для людей старше 60 лет</w:t>
      </w:r>
    </w:p>
    <w:p w:rsidR="002010A7" w:rsidRPr="002010A7" w:rsidRDefault="002010A7" w:rsidP="002010A7">
      <w:pPr>
        <w:spacing w:line="273" w:lineRule="atLeast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A7" w:rsidRPr="0014589F" w:rsidRDefault="0014589F" w:rsidP="002010A7">
      <w:pPr>
        <w:spacing w:after="150" w:line="273" w:lineRule="atLeast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9F">
        <w:rPr>
          <w:rFonts w:ascii="Times New Roman" w:hAnsi="Times New Roman" w:cs="Times New Roman"/>
          <w:sz w:val="24"/>
          <w:szCs w:val="24"/>
        </w:rPr>
        <w:t>Управление Роспотребнадзора по Чувашской Республике - Чувашии</w:t>
      </w:r>
      <w:r w:rsidR="002010A7" w:rsidRPr="0014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питание является ведущим элементом для поддержки здоровья и продления жизни человека. Состояние здоровья в пожилом возрасте определяется многочисленными генетическими и внешними факторами, воздействующими на организм в течение всей жизни. Важно помнить, что к 60 годам организм человека претерпевает ряд существенных изменений:</w:t>
      </w:r>
    </w:p>
    <w:p w:rsidR="002010A7" w:rsidRPr="002010A7" w:rsidRDefault="002010A7" w:rsidP="002010A7">
      <w:pPr>
        <w:spacing w:after="150" w:line="273" w:lineRule="atLeast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уменьшается интенсивность процессов обмена веществ;</w:t>
      </w:r>
    </w:p>
    <w:p w:rsidR="002010A7" w:rsidRPr="002010A7" w:rsidRDefault="002010A7" w:rsidP="002010A7">
      <w:pPr>
        <w:spacing w:after="150" w:line="273" w:lineRule="atLeast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снижаются функциональные возможности ферментативных систем;</w:t>
      </w:r>
    </w:p>
    <w:p w:rsidR="002010A7" w:rsidRPr="002010A7" w:rsidRDefault="002010A7" w:rsidP="002010A7">
      <w:pPr>
        <w:spacing w:after="150" w:line="273" w:lineRule="atLeast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ослабевает секреторная и моторная функции пищеварительного тракта;</w:t>
      </w:r>
    </w:p>
    <w:p w:rsidR="002010A7" w:rsidRPr="002010A7" w:rsidRDefault="002010A7" w:rsidP="002010A7">
      <w:pPr>
        <w:spacing w:after="150" w:line="273" w:lineRule="atLeast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нарушается постоянство </w:t>
      </w:r>
      <w:proofErr w:type="spellStart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микробиома</w:t>
      </w:r>
      <w:proofErr w:type="spellEnd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кишечника;</w:t>
      </w:r>
    </w:p>
    <w:p w:rsidR="002010A7" w:rsidRPr="002010A7" w:rsidRDefault="002010A7" w:rsidP="002010A7">
      <w:pPr>
        <w:spacing w:after="150" w:line="273" w:lineRule="atLeast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снижаются защитно-адаптационные возможности организма;</w:t>
      </w:r>
    </w:p>
    <w:p w:rsidR="002010A7" w:rsidRPr="002010A7" w:rsidRDefault="002010A7" w:rsidP="002010A7">
      <w:pPr>
        <w:spacing w:after="150" w:line="273" w:lineRule="atLeast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снижается толерантность к глюкозе и насыщенным жирным кислотам.</w:t>
      </w:r>
    </w:p>
    <w:p w:rsidR="002010A7" w:rsidRPr="002010A7" w:rsidRDefault="002010A7" w:rsidP="002010A7">
      <w:pPr>
        <w:spacing w:after="150" w:line="273" w:lineRule="atLeast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этого питание лиц пожилого возраста должно быть, с одной стороны, ограниченным по калорийности (в соответствии с реальными </w:t>
      </w:r>
      <w:proofErr w:type="spellStart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энергозатратами</w:t>
      </w:r>
      <w:proofErr w:type="spellEnd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низкой метаболической активностью), главным образом за счет животных жиров и простых сахаров, количеству поваренной соли, а с другой стороны, полноценным по содержанию незаменимых аминокислот, полиненасыщенных жирных кислот, растительных жиров, пищевых волокон, витаминов, кальция, калия, магния, железа, цинка, хрома и</w:t>
      </w:r>
      <w:proofErr w:type="gramEnd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</w:t>
      </w:r>
      <w:proofErr w:type="spellStart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микронутриентов</w:t>
      </w:r>
      <w:proofErr w:type="spellEnd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0A7" w:rsidRPr="002010A7" w:rsidRDefault="002010A7" w:rsidP="002010A7">
      <w:pPr>
        <w:spacing w:after="150" w:line="273" w:lineRule="atLeast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значения энергетической ценности рациона для мужчин старше 60 лет – менее 2300 ккал, для женщин – менее 2000. Сбалансированность белков в целом должна соответствовать обычным требованиям (половина белка животного происхождения). Среди всех жиров растительные масла должны составлять не менее 50%, с желательным увеличением в нем доли источников мононенасыщенных (например, оливковое масло). Углеводы должны быть представлены в основном полисахаридами (крахмал). Таким образом, будет формироваться направленность рациона в сторону уменьшения уровней холестерина и глюкозы (сахара). Количество пищевых волокон в рационе должно находиться на уровне 25-30 грамм в сутки. Этот уровень обеспечивается разнообразием овощей, зелени, фруктов, </w:t>
      </w:r>
      <w:proofErr w:type="spellStart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</w:t>
      </w:r>
      <w:proofErr w:type="spellEnd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обработанными</w:t>
      </w:r>
      <w:proofErr w:type="gramEnd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функциональным состоянием желудочно-кишечного тракта.</w:t>
      </w:r>
    </w:p>
    <w:p w:rsidR="002010A7" w:rsidRPr="002010A7" w:rsidRDefault="002010A7" w:rsidP="002010A7">
      <w:pPr>
        <w:spacing w:after="150" w:line="273" w:lineRule="atLeast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</w:t>
      </w:r>
      <w:proofErr w:type="spellStart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микронутриентах</w:t>
      </w:r>
      <w:proofErr w:type="spellEnd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как в силу снижения их </w:t>
      </w:r>
      <w:proofErr w:type="spellStart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биодоступности</w:t>
      </w:r>
      <w:proofErr w:type="spellEnd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в результате повышенного расхода в «адаптирующемся к старости» метаболизме. В </w:t>
      </w:r>
      <w:proofErr w:type="gramStart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пожилом</w:t>
      </w:r>
      <w:proofErr w:type="gramEnd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особое внимание должно быть уделено бездефицитному поступлению витаминов-антиоксидантов: С, Е, А, (3-каротина, </w:t>
      </w:r>
      <w:proofErr w:type="spellStart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био-флавоноидов</w:t>
      </w:r>
      <w:proofErr w:type="spellEnd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(обеспечивающих защиту клеток) и витаминов В12, </w:t>
      </w:r>
      <w:proofErr w:type="spellStart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фолата</w:t>
      </w:r>
      <w:proofErr w:type="spellEnd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proofErr w:type="gramStart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(способствующих снижению риска развития атеросклеротического процесса).</w:t>
      </w:r>
    </w:p>
    <w:p w:rsidR="002010A7" w:rsidRPr="002010A7" w:rsidRDefault="002010A7" w:rsidP="002010A7">
      <w:pPr>
        <w:spacing w:after="150" w:line="273" w:lineRule="atLeast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минеральных веществ, подверженных повышенному расходу, основными являются кальций, калий, железо, магний, цинк, хром, обеспечивающие регуляцию костного метаболизма, системы свертывания крови, водно-электролитного баланса, функций центральной нервной системы, углеводного и жирового обменов.</w:t>
      </w:r>
      <w:proofErr w:type="gramEnd"/>
    </w:p>
    <w:p w:rsidR="002010A7" w:rsidRPr="002010A7" w:rsidRDefault="002010A7" w:rsidP="002010A7">
      <w:pPr>
        <w:spacing w:after="150" w:line="273" w:lineRule="atLeast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пониженных </w:t>
      </w:r>
      <w:proofErr w:type="spellStart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пожилые люди не имеют возможность расширять ассортимент пищевых продуктов. Подобный редуцированный рацион, как правило, не способен обеспечить реальную потребность в </w:t>
      </w:r>
      <w:proofErr w:type="spellStart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микронутриентах</w:t>
      </w:r>
      <w:proofErr w:type="spellEnd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ПНЖК, пищевых волокнах. В этой связи в питании лиц пожилого возраста возрастает значение </w:t>
      </w:r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обогащенных продуктов, способствующих повышению пищевой плотности рациона без увеличения калорийности. Именно обогащение рациона дополнительными источниками витаминов и минеральных веществ является реальным диетологическим приемом коррекции дефицитного пищевого статуса.</w:t>
      </w:r>
    </w:p>
    <w:p w:rsidR="002010A7" w:rsidRPr="002010A7" w:rsidRDefault="002010A7" w:rsidP="002010A7">
      <w:pPr>
        <w:spacing w:after="150" w:line="273" w:lineRule="atLeast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в пожилом возрасте желательно строить исходя из четыре</w:t>
      </w:r>
      <w:proofErr w:type="gramStart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пяти-разового</w:t>
      </w:r>
      <w:proofErr w:type="spellEnd"/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дробного питания без больших перерывов в приеме пищи. У лиц пожилого возраста, страдающих хроническими заболеваниями в стадии ремиссии и при обострении, необходимо применять рацион диетического питания, соответствующий патологическому процессу, который назначается лечащим врачом.</w:t>
      </w:r>
    </w:p>
    <w:p w:rsidR="002010A7" w:rsidRDefault="002010A7" w:rsidP="002010A7">
      <w:pPr>
        <w:spacing w:after="150" w:line="273" w:lineRule="atLeast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на продолжительность жизни влияет не только изменение рациона, но и регулярная физическая активность, ведение здорового образа жизни и располагающая наследственность. При этом изменения рациона, основанные на принципах здорового питания, помогут уменьшить вероятность развития неприятных и опасных для жизни заболеваний: сахарного диабета, инфаркта, инсульта, и др. Питайтесь правильно, живите долго и выглядите молодо в любом возрасте!</w:t>
      </w:r>
    </w:p>
    <w:p w:rsidR="002010A7" w:rsidRPr="002010A7" w:rsidRDefault="002010A7" w:rsidP="002010A7">
      <w:pPr>
        <w:spacing w:after="150" w:line="273" w:lineRule="atLeast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000375"/>
            <wp:effectExtent l="19050" t="0" r="9525" b="0"/>
            <wp:docPr id="1" name="Рисунок 1" descr="C:\Documents and Settings\1\Рабочий стол\297x150mm_Питание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297x150mm_Питание-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87" w:rsidRDefault="00322387" w:rsidP="00322387">
      <w:pPr>
        <w:ind w:left="0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</w:pPr>
    </w:p>
    <w:p w:rsidR="00B015A9" w:rsidRDefault="00A45501" w:rsidP="00322387">
      <w:pPr>
        <w:ind w:left="0"/>
        <w:jc w:val="both"/>
      </w:pPr>
      <w:hyperlink r:id="rId5" w:history="1">
        <w:r w:rsidR="00322387" w:rsidRPr="006D6ADA">
          <w:rPr>
            <w:rStyle w:val="a6"/>
            <w:rFonts w:ascii="Times New Roman" w:eastAsia="Times New Roman" w:hAnsi="Times New Roman" w:cs="Times New Roman"/>
            <w:i/>
            <w:spacing w:val="4"/>
            <w:sz w:val="24"/>
            <w:szCs w:val="24"/>
            <w:lang w:eastAsia="ru-RU"/>
          </w:rPr>
          <w:t xml:space="preserve">с сайта </w:t>
        </w:r>
        <w:r w:rsidR="00322387" w:rsidRPr="006D6ADA">
          <w:rPr>
            <w:rStyle w:val="a6"/>
            <w:rFonts w:ascii="Times New Roman" w:hAnsi="Times New Roman" w:cs="Times New Roman"/>
            <w:i/>
            <w:sz w:val="24"/>
            <w:szCs w:val="24"/>
          </w:rPr>
          <w:t>Управления Роспотребнадзора по Чувашской Республике – Чувашии</w:t>
        </w:r>
      </w:hyperlink>
    </w:p>
    <w:sectPr w:rsidR="00B015A9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A7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4294"/>
    <w:rsid w:val="000F5487"/>
    <w:rsid w:val="00100929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89F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93370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381E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10A7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2387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0DC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ADA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55DC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18C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5501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5F6E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43DC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2010A7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010A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10A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0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6A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.rospotrebnadzor.ru/content/644/6205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10</cp:revision>
  <dcterms:created xsi:type="dcterms:W3CDTF">2022-04-13T06:17:00Z</dcterms:created>
  <dcterms:modified xsi:type="dcterms:W3CDTF">2022-05-23T07:44:00Z</dcterms:modified>
</cp:coreProperties>
</file>