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B" w:rsidRDefault="0062616B" w:rsidP="0062616B">
      <w:pPr>
        <w:ind w:right="595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утверждении порядка пр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ведения районного конкурса «Лучшее предприятие потр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бительского рынка Чебокса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ского района – 2022»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</w:t>
      </w:r>
      <w:r>
        <w:rPr>
          <w:rFonts w:ascii="Times New Roman" w:hAnsi="Times New Roman"/>
          <w:color w:val="FF0000"/>
          <w:szCs w:val="26"/>
        </w:rPr>
        <w:t xml:space="preserve"> </w:t>
      </w:r>
      <w:r>
        <w:rPr>
          <w:rFonts w:ascii="Times New Roman" w:hAnsi="Times New Roman"/>
          <w:szCs w:val="26"/>
        </w:rPr>
        <w:t>подпрограммой «</w:t>
      </w:r>
      <w:r>
        <w:rPr>
          <w:rFonts w:ascii="Times New Roman" w:hAnsi="Times New Roman"/>
          <w:color w:val="000000"/>
          <w:szCs w:val="26"/>
        </w:rPr>
        <w:t>Совершенствование потребительского ры</w:t>
      </w:r>
      <w:r>
        <w:rPr>
          <w:rFonts w:ascii="Times New Roman" w:hAnsi="Times New Roman"/>
          <w:color w:val="000000"/>
          <w:szCs w:val="26"/>
        </w:rPr>
        <w:t>н</w:t>
      </w:r>
      <w:r>
        <w:rPr>
          <w:rFonts w:ascii="Times New Roman" w:hAnsi="Times New Roman"/>
          <w:color w:val="000000"/>
          <w:szCs w:val="26"/>
        </w:rPr>
        <w:t xml:space="preserve">ка и системы защиты прав потребителей» </w:t>
      </w:r>
      <w:r>
        <w:rPr>
          <w:rFonts w:ascii="Times New Roman" w:hAnsi="Times New Roman"/>
          <w:szCs w:val="26"/>
        </w:rPr>
        <w:t>муниципальной программы Чебоксарского района Чувашской Республики «Экономическое развитие Чебоксарского района», утвержденной постановлением администрации Чебоксарского района Чувашской Республики 04.12.2020 г. № 1531, в целях развития сферы потребительского рынка на территории Чебоксарского района Чувашской Республики, повышения професси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нального мастерства персонала организаций торговли, общественного питания, быт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вого обслуживания, развития индустрии гостеприимства на территории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 Чувашской Республики администрация Чебоксарского района  п о с т а н о в л я е т:</w:t>
      </w:r>
    </w:p>
    <w:p w:rsidR="0062616B" w:rsidRDefault="0062616B" w:rsidP="006261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Организовать и провести районный конкурс «Лучшее предприятие потреб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тельского рынка Чебоксарского района – 2022».</w:t>
      </w:r>
    </w:p>
    <w:p w:rsidR="0062616B" w:rsidRDefault="0062616B" w:rsidP="006261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Утвердить:</w:t>
      </w:r>
    </w:p>
    <w:p w:rsidR="0062616B" w:rsidRDefault="0062616B" w:rsidP="0062616B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положение о районном конкурсе «Лучшее предприятие потребительского ры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ка Чебоксарского района – 2022» (приложение № 1);</w:t>
      </w:r>
    </w:p>
    <w:p w:rsidR="0062616B" w:rsidRDefault="0062616B" w:rsidP="0062616B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состав комиссии по подведению итогов районного конкурса «Лучшее предпр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ятие потребительского рынка Чебоксарского района– 2022» (приложение № 2).</w:t>
      </w:r>
    </w:p>
    <w:p w:rsidR="0062616B" w:rsidRDefault="0062616B" w:rsidP="006261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постановление опубликовать на сайте администрации района в информационно-телекоммуникационной сети «Интернет».</w:t>
      </w:r>
    </w:p>
    <w:p w:rsidR="0062616B" w:rsidRDefault="0062616B" w:rsidP="006261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исполнением данного постановления возложить на отдел эк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номики администрации Чебоксарского района.</w:t>
      </w:r>
    </w:p>
    <w:p w:rsidR="0062616B" w:rsidRDefault="0062616B" w:rsidP="006261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постановление вступает в силу со дня его официального опубл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кования.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62616B" w:rsidTr="0062616B">
        <w:tc>
          <w:tcPr>
            <w:tcW w:w="5211" w:type="dxa"/>
            <w:hideMark/>
          </w:tcPr>
          <w:p w:rsidR="0062616B" w:rsidRDefault="0062616B">
            <w:pPr>
              <w:ind w:left="-108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62616B" w:rsidRDefault="0062616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rPr>
          <w:rFonts w:ascii="Times New Roman" w:hAnsi="Times New Roman"/>
          <w:szCs w:val="26"/>
        </w:rPr>
      </w:pPr>
    </w:p>
    <w:p w:rsidR="0062616B" w:rsidRDefault="0062616B" w:rsidP="0062616B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62616B" w:rsidRDefault="0062616B" w:rsidP="0062616B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администрации 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боксарского района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</w:rPr>
        <w:t>от________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  <w:t>№_____</w:t>
      </w:r>
    </w:p>
    <w:p w:rsidR="0062616B" w:rsidRDefault="0062616B" w:rsidP="0062616B">
      <w:pPr>
        <w:ind w:firstLine="709"/>
        <w:jc w:val="center"/>
        <w:rPr>
          <w:rFonts w:ascii="Times New Roman" w:hAnsi="Times New Roman"/>
          <w:szCs w:val="26"/>
        </w:rPr>
      </w:pPr>
    </w:p>
    <w:p w:rsidR="0062616B" w:rsidRDefault="0062616B" w:rsidP="0062616B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62616B" w:rsidRDefault="0062616B" w:rsidP="0062616B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ПОЛОЖЕНИЕ</w:t>
      </w:r>
    </w:p>
    <w:p w:rsidR="0062616B" w:rsidRDefault="0062616B" w:rsidP="0062616B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районном конкурсе</w:t>
      </w:r>
    </w:p>
    <w:p w:rsidR="0062616B" w:rsidRDefault="0062616B" w:rsidP="0062616B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«Лучшее предприятие потребительского рынка Чебоксарского района –   2022»</w:t>
      </w:r>
    </w:p>
    <w:p w:rsidR="0062616B" w:rsidRDefault="0062616B" w:rsidP="0062616B">
      <w:pPr>
        <w:ind w:firstLine="709"/>
        <w:rPr>
          <w:rFonts w:ascii="Times New Roman" w:hAnsi="Times New Roman"/>
          <w:szCs w:val="26"/>
        </w:rPr>
      </w:pPr>
    </w:p>
    <w:p w:rsidR="0062616B" w:rsidRDefault="0062616B" w:rsidP="0062616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Общие положения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Положение определяет порядок проведения районного конку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са «Лучшее предприятие потребительского рынка Чебоксарского района – 2022» (д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лее – Конкурс).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Целями проведения конкурса являются выявление и поощрение предпри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тий, достигших наилучших результатов в сфере торговли, общественного питания и бытового обслуживания, обобщение и распространение положительного опыта их 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ятельности, развития конкуренции на потребительском рынке Чебоксарского района. 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конкурсе имеют право принимать участие организации всех форм со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ственности и индивидуальные предпринимателей, осуществляющие свою деятел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ность на территории Чебоксарского района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Организатором Конкурса является администрация Чебоксарского района Чувашской Республики (далее – администрация района).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 принципом проведения Конкурса является создание равных условий для всех участников Конкурса и гласность его проведения.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Количество участников Конкурса не ограничено.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Конкурсный отбор организаций торговли, общественного питания, быт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</w:t>
      </w:r>
      <w:r>
        <w:rPr>
          <w:rFonts w:ascii="Times New Roman" w:hAnsi="Times New Roman"/>
          <w:szCs w:val="26"/>
        </w:rPr>
        <w:t>ю</w:t>
      </w:r>
      <w:r>
        <w:rPr>
          <w:rFonts w:ascii="Times New Roman" w:hAnsi="Times New Roman"/>
          <w:szCs w:val="26"/>
        </w:rPr>
        <w:t>щих свою деятельность на территории Чебоксарского района Чувашской Республики проводится комиссией, создаваемой постановлением администрацией района (далее – Комиссия).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Конкурс проводится по результатам деятельности за год по следующим номинациям:</w:t>
      </w:r>
    </w:p>
    <w:p w:rsidR="0062616B" w:rsidRDefault="0062616B" w:rsidP="0062616B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«Лучшее предприятие торговли»;</w:t>
      </w:r>
    </w:p>
    <w:p w:rsidR="0062616B" w:rsidRDefault="0062616B" w:rsidP="0062616B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«Лучшее предприятие по реализации продукции местных товаропроизводит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лей»;</w:t>
      </w:r>
    </w:p>
    <w:p w:rsidR="0062616B" w:rsidRDefault="0062616B" w:rsidP="0062616B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«Лучшее предприятие общественного питания»; </w:t>
      </w:r>
    </w:p>
    <w:p w:rsidR="0062616B" w:rsidRDefault="0062616B" w:rsidP="0062616B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«Лучшее предприятие бытового обслуживания»; </w:t>
      </w:r>
    </w:p>
    <w:p w:rsidR="0062616B" w:rsidRDefault="0062616B" w:rsidP="0062616B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«Лучший торговый комплекс»;</w:t>
      </w:r>
    </w:p>
    <w:p w:rsidR="0062616B" w:rsidRDefault="0062616B" w:rsidP="0062616B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«Лучшая ярмарка»;</w:t>
      </w:r>
    </w:p>
    <w:p w:rsidR="0062616B" w:rsidRDefault="0062616B" w:rsidP="0062616B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«Лучший молодой предприниматель».</w:t>
      </w:r>
    </w:p>
    <w:p w:rsidR="0062616B" w:rsidRDefault="0062616B" w:rsidP="0062616B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Цели и задачи Конкурса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Основными целями Конкурса являются: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развитие сферы торговли, общественного питания и бытового обслуживания на территории Чебоксарского района Чувашской Республики;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повышение уровня кадрового потенциала в сфере потребительского рынка;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вышение культуры обслуживания населения;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развитие индустрии гостеприимства на территории Чебоксарского района Ч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вашской Республики.</w:t>
      </w:r>
    </w:p>
    <w:p w:rsidR="0062616B" w:rsidRDefault="0062616B" w:rsidP="0062616B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 Задачи Конкурса: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пропаганда положительного опыта работы специалистов организаций торговли, общественного питания, бытового обслуживания на территории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 Чувашской Республики;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выявление лучших организаций торговли, общественного питания и бытового обслуживания на территории Чебоксарского района Чувашской Республики.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Порядок организации и проведения Конкурса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 размещает извещение о проведении Конкурса на официальном сайте администрации района в информационно-телекоммуникационной сети «Интернет» (далее – сеть «Интернет»).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Участие в конкурсе является добровольным.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Участником конкурса может быть любое предприятие, независимо от всех форм собственности, ведущее свою деятельность на территории 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Конкурсные материалы представляются </w:t>
      </w:r>
      <w:r>
        <w:rPr>
          <w:rFonts w:ascii="Times New Roman" w:hAnsi="Times New Roman"/>
          <w:b/>
          <w:bCs/>
          <w:szCs w:val="26"/>
        </w:rPr>
        <w:t>в срок до 20 июля 2022 г.</w:t>
      </w:r>
      <w:r>
        <w:rPr>
          <w:rFonts w:ascii="Times New Roman" w:hAnsi="Times New Roman"/>
          <w:szCs w:val="26"/>
        </w:rPr>
        <w:t xml:space="preserve"> в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министрацию района и рассматриваются комиссией.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участия в районном конкурсе «Лучшее предприятие потребительск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рынка Чебоксарского района – 2022» участники представляют следующие ко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курсные материалы: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заявку на участие в конкурсе по форме согласно </w:t>
      </w:r>
      <w:r>
        <w:rPr>
          <w:rFonts w:ascii="Times New Roman" w:hAnsi="Times New Roman"/>
          <w:b/>
          <w:szCs w:val="26"/>
        </w:rPr>
        <w:t>приложению</w:t>
      </w:r>
      <w:r>
        <w:rPr>
          <w:rFonts w:ascii="Times New Roman" w:hAnsi="Times New Roman"/>
          <w:szCs w:val="26"/>
        </w:rPr>
        <w:t xml:space="preserve"> к настоящему Положению;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показатели оценки деятельности организации (</w:t>
      </w:r>
      <w:r>
        <w:rPr>
          <w:rFonts w:ascii="Times New Roman" w:hAnsi="Times New Roman"/>
          <w:b/>
          <w:szCs w:val="26"/>
        </w:rPr>
        <w:t>приложение №1</w:t>
      </w:r>
      <w:r>
        <w:rPr>
          <w:rFonts w:ascii="Times New Roman" w:hAnsi="Times New Roman"/>
          <w:szCs w:val="26"/>
        </w:rPr>
        <w:t xml:space="preserve"> к настоящему Положению);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копию книги отзывов и предложений, журнала проверок;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копию меню и прейскуранта цен (для предприятий общественного питания и бытового обслуживания);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фотографии фасада предприятия, рабочего зала, производственных помещений, коллектива;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копии дипломов, грамот, благодарностей  (при наличии), публикации в прессе.</w:t>
      </w:r>
    </w:p>
    <w:p w:rsidR="0062616B" w:rsidRDefault="0062616B" w:rsidP="0062616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Информация, представленная участниками в конкурсную комиссию, не может быть использована без их согласия, для иных целей, кроме конкурсной оценки субъектов малого и среднего предпринимательства.</w:t>
      </w:r>
    </w:p>
    <w:p w:rsidR="0062616B" w:rsidRDefault="0062616B" w:rsidP="0062616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Документы, предоставленные на конкурс, участникам не возвращаются.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Конкурсные материалы, указанные в настоящем пункте, направляются в отдел экономики администрации Чебоксарского района Чувашской Республики по адресу: Чебоксарский район, пос. Кугеси, ул. Шоссейная, д. 15, каб. 17.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района: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рассматривает представленные в соответствии с пунктом 3.5 настоящего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ложения конкурсные материалы;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отклоняет конкурсные материалы, если они не отвечают требованиям насто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щего Положения, содержат недостоверные сведения.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 в течение одного рабочего дня со дня окончания срока приема конкурсных материалов направляет их членам Комиссии для оценки.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Критерии оценки конкурсных материалов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Основными критериями оценки конкурсных материалов являются: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внешнее оформление объекта (наличие и эстетическое оформление выве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ки, благоустройство и состояние прилегающей территории (озеленение, декоративное освещение и т.п.), дизайн, цветовое оформление фасада, оформление оконных ви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рин, витражи);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внутреннее оформление объекта (оформление торгового зала, обеденного зала, приемного салона, производственных и служебно-бытовых помещений);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организация рабочих мест (наличие и состояние технологического обор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дования, квалификация персонала, наличие спецодежды, производственная санит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рия);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качество и культура обслуживания посетителей (соблюдение технологии обслуживания посетителей, скорость обслуживания потребителей, доброжелател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ность персонала, профессиональное мастерство персонала (знание информации о 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варе, услуге);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наличие системы льгот и скидок;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предоставление дополнительных услуг;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участие в общественных мероприятиях;</w:t>
      </w:r>
    </w:p>
    <w:p w:rsidR="0062616B" w:rsidRDefault="0062616B" w:rsidP="0062616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положительные отзывы от потребителей.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Каждый член Комиссии осуществляет оценку конкурсных материалов по критериям, указанным в пункте 4.1 настоящего Положения, по пятибалльной шкале (от 1 до 5 баллов).</w:t>
      </w:r>
    </w:p>
    <w:p w:rsidR="0062616B" w:rsidRDefault="0062616B" w:rsidP="0062616B">
      <w:pPr>
        <w:ind w:left="2149"/>
        <w:rPr>
          <w:rFonts w:ascii="Times New Roman" w:hAnsi="Times New Roman"/>
          <w:szCs w:val="26"/>
        </w:rPr>
      </w:pPr>
    </w:p>
    <w:p w:rsidR="0062616B" w:rsidRDefault="0062616B" w:rsidP="0062616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Подведение итогов Конкурса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Подведение итогов Конкурса осуществляется Комиссией.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основе оценок, выставленных членами Комиссии, по каждому учас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нику Конкурса выводится итоговый суммарный балл.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На основе итоговых, суммарных баллов определяются победители Ко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курса по каждой номинации, набравшие максимальное количество баллов.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если несколько участников Конкурса набрали равное количество ба</w:t>
      </w:r>
      <w:r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>лов, победителем признается участник Конкурса, подавший заявку ранее других.</w:t>
      </w:r>
    </w:p>
    <w:p w:rsidR="0062616B" w:rsidRDefault="0062616B" w:rsidP="0062616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итогам Конкурса Комиссия принимает решение об определении победит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лей Конкурса, которое оформляется протоколом заседания Комиссии.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Информация об итогах Конкурса размещается на официальном сайте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министрации Чебоксарского района Чувашской Республики в сети «Интернет» в 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чение 5 дней со дня принятия решения Комиссии об определении победителей Ко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курса.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Победители Конкурса награждаются дипломом администрации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Чувашской Республики, остальные участники Конкурса – благода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ственными письмами администрации Чебоксарского района Чувашской Республики.</w:t>
      </w:r>
    </w:p>
    <w:p w:rsidR="0062616B" w:rsidRDefault="0062616B" w:rsidP="0062616B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Награждение победителей Конкурса состоится 23 июля 2022 года.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Положению о проведении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районного конкурса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 рынка Чебоксарского района - 2022»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Основные показатели</w:t>
      </w:r>
    </w:p>
    <w:p w:rsidR="0062616B" w:rsidRDefault="0062616B" w:rsidP="0062616B">
      <w:p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Деятельности организации за 2022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4060"/>
        <w:gridCol w:w="2369"/>
        <w:gridCol w:w="2385"/>
      </w:tblGrid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Единица измер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Фактическое зн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чение показателя (информация)</w:t>
            </w: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История предприятия(краткая х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рактеристика)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реализованной продукции, работ, услуг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Тыс.руб.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Темпы роста товарооборота к уровню прошлого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Доля реализации товаров местных производителей в общем объеме товарооборота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Доля товаров местного произво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ства в общем ассортименте тов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ров в разрезе продуктов питания: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-хлеб и х/б изделия;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-молоко и молочная продукция;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-сыры твердые;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-колбасные и мясные изделия;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-кондитерские изделия;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%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Численность работающих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чел.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Средняя заработная плата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тыс.руб.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Размер торговой площади (для торговых предприятий)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тыс.руб.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посадочных мест (для предприятий общественного п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тания)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рабочих мест (для предприятий бытового обслуж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вания)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Товарная насыщенность (колич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ство наименований товаров), в т.ч. продукции местного товар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производителей (для торговых предприятий)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Ассортимент перечень блюд, и</w:t>
            </w:r>
            <w:r>
              <w:rPr>
                <w:rFonts w:ascii="Times New Roman" w:hAnsi="Times New Roman"/>
                <w:szCs w:val="26"/>
              </w:rPr>
              <w:t>з</w:t>
            </w:r>
            <w:r>
              <w:rPr>
                <w:rFonts w:ascii="Times New Roman" w:hAnsi="Times New Roman"/>
                <w:szCs w:val="26"/>
              </w:rPr>
              <w:t>делий собственного производства, наличие блюд национальной ку</w:t>
            </w:r>
            <w:r>
              <w:rPr>
                <w:rFonts w:ascii="Times New Roman" w:hAnsi="Times New Roman"/>
                <w:szCs w:val="26"/>
              </w:rPr>
              <w:t>х</w:t>
            </w:r>
            <w:r>
              <w:rPr>
                <w:rFonts w:ascii="Times New Roman" w:hAnsi="Times New Roman"/>
                <w:szCs w:val="26"/>
              </w:rPr>
              <w:t>ни, фирменных блюд (для пре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приятий общественного питания)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Перечень предоставляемых услуг (для предприятий бытового о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служивания)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Дополнительные услуги, в т.ч. предоставление скидок, льгот на товары и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рекламных акций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Участие в общественных мер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приятиях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Благоустройство прилегающей территории, наличие парковки, наличие доступа для малом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бильных групп населения (панд</w:t>
            </w:r>
            <w:r>
              <w:rPr>
                <w:rFonts w:ascii="Times New Roman" w:hAnsi="Times New Roman"/>
                <w:szCs w:val="26"/>
              </w:rPr>
              <w:t>у</w:t>
            </w:r>
            <w:r>
              <w:rPr>
                <w:rFonts w:ascii="Times New Roman" w:hAnsi="Times New Roman"/>
                <w:szCs w:val="26"/>
              </w:rPr>
              <w:t>сы)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Default="0062616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62616B" w:rsidRDefault="0062616B" w:rsidP="0062616B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Достоверность представленных сведений гарантирую.</w:t>
      </w: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           ____________             _____________________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руководитель организации                        (подпись)                  (расшифровка подписи)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«__» _______ 202_г.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М.П.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Положению о проведении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районного конкурса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 рынка - 2022»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before="826"/>
        <w:ind w:left="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before="278" w:line="283" w:lineRule="exact"/>
        <w:ind w:left="1742" w:right="17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районном конкурсе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«Лучшее предприятие потребительского рынка – 2022»</w:t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53"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организации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(местоположение)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ИНН/ОГРН ______________________________________________________________</w:t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телефоны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отчество, должность руководителя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autoSpaceDE w:val="0"/>
        <w:autoSpaceDN w:val="0"/>
        <w:adjustRightInd w:val="0"/>
        <w:spacing w:before="221" w:line="278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подтверждаю участие в районном конкурсе «Лучшее предприятие потребител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ского рынка - 2022»</w:t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leader="underscore" w:pos="2534"/>
          <w:tab w:val="left" w:leader="dot" w:pos="5150"/>
          <w:tab w:val="left" w:leader="underscore" w:pos="8818"/>
        </w:tabs>
        <w:autoSpaceDE w:val="0"/>
        <w:autoSpaceDN w:val="0"/>
        <w:adjustRightInd w:val="0"/>
        <w:spacing w:before="54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16B" w:rsidRDefault="0062616B" w:rsidP="0062616B">
      <w:pPr>
        <w:widowControl w:val="0"/>
        <w:shd w:val="clear" w:color="auto" w:fill="FFFFFF"/>
        <w:tabs>
          <w:tab w:val="left" w:pos="6067"/>
          <w:tab w:val="left" w:pos="6237"/>
        </w:tabs>
        <w:autoSpaceDE w:val="0"/>
        <w:autoSpaceDN w:val="0"/>
        <w:adjustRightInd w:val="0"/>
        <w:spacing w:before="274" w:line="27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М.П. (при наличии)</w:t>
      </w:r>
      <w:r>
        <w:rPr>
          <w:rFonts w:ascii="Arial" w:hAnsi="Times New Roman" w:cs="Arial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(Ф.И.О. руководителя</w:t>
      </w:r>
    </w:p>
    <w:p w:rsidR="0062616B" w:rsidRDefault="0062616B" w:rsidP="0062616B">
      <w:pPr>
        <w:ind w:left="6237" w:right="127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 или индивидуального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предпринимателя)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7591"/>
        </w:tabs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администрации 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боксарского района</w:t>
      </w:r>
    </w:p>
    <w:p w:rsidR="0062616B" w:rsidRDefault="0062616B" w:rsidP="0062616B">
      <w:pPr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от________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  <w:t>_____ №_______</w:t>
      </w:r>
    </w:p>
    <w:p w:rsidR="0062616B" w:rsidRDefault="0062616B" w:rsidP="0062616B">
      <w:pPr>
        <w:shd w:val="clear" w:color="auto" w:fill="FFFFFF"/>
        <w:spacing w:before="547" w:line="274" w:lineRule="exact"/>
        <w:ind w:right="1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СОСТАВ</w:t>
      </w:r>
    </w:p>
    <w:p w:rsidR="0062616B" w:rsidRDefault="0062616B" w:rsidP="0062616B">
      <w:pPr>
        <w:shd w:val="clear" w:color="auto" w:fill="FFFFFF"/>
        <w:spacing w:line="274" w:lineRule="exact"/>
        <w:ind w:right="11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конкурсной комиссии по подведению итогов районного конкурса</w:t>
      </w:r>
    </w:p>
    <w:p w:rsidR="0062616B" w:rsidRDefault="0062616B" w:rsidP="0062616B">
      <w:pPr>
        <w:tabs>
          <w:tab w:val="left" w:pos="1276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«Лучшее предприятие потребительского рынка – 2022»</w:t>
      </w: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46"/>
        <w:gridCol w:w="6707"/>
      </w:tblGrid>
      <w:tr w:rsidR="0062616B" w:rsidTr="0062616B">
        <w:tc>
          <w:tcPr>
            <w:tcW w:w="2978" w:type="dxa"/>
          </w:tcPr>
          <w:p w:rsidR="0062616B" w:rsidRDefault="0062616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Софронова</w:t>
            </w: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Людмила Васильевна</w:t>
            </w: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</w:t>
            </w:r>
          </w:p>
        </w:tc>
        <w:tc>
          <w:tcPr>
            <w:tcW w:w="6707" w:type="dxa"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начальника отдела экономики администрации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 (председатель Комиссии);</w:t>
            </w:r>
          </w:p>
        </w:tc>
      </w:tr>
      <w:tr w:rsidR="0062616B" w:rsidTr="0062616B">
        <w:tc>
          <w:tcPr>
            <w:tcW w:w="2978" w:type="dxa"/>
            <w:hideMark/>
          </w:tcPr>
          <w:p w:rsidR="0062616B" w:rsidRDefault="0062616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Орлова Инга Юрьевна</w:t>
            </w:r>
          </w:p>
        </w:tc>
        <w:tc>
          <w:tcPr>
            <w:tcW w:w="346" w:type="dxa"/>
            <w:hideMark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</w:t>
            </w:r>
          </w:p>
        </w:tc>
        <w:tc>
          <w:tcPr>
            <w:tcW w:w="6707" w:type="dxa"/>
            <w:hideMark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главный специалист-эксперт отдела экономики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Чебоксарского района (зам. председателя Коми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сии);</w:t>
            </w:r>
          </w:p>
        </w:tc>
      </w:tr>
      <w:tr w:rsidR="0062616B" w:rsidTr="0062616B">
        <w:tc>
          <w:tcPr>
            <w:tcW w:w="2978" w:type="dxa"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Данилова Нина Миха</w:t>
            </w:r>
            <w:r>
              <w:rPr>
                <w:rFonts w:ascii="Times New Roman" w:hAnsi="Times New Roman"/>
                <w:szCs w:val="26"/>
              </w:rPr>
              <w:t>й</w:t>
            </w:r>
            <w:r>
              <w:rPr>
                <w:rFonts w:ascii="Times New Roman" w:hAnsi="Times New Roman"/>
                <w:szCs w:val="26"/>
              </w:rPr>
              <w:t>ловна</w:t>
            </w: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</w:p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Члены комиссии:</w:t>
            </w:r>
          </w:p>
        </w:tc>
        <w:tc>
          <w:tcPr>
            <w:tcW w:w="346" w:type="dxa"/>
            <w:hideMark/>
          </w:tcPr>
          <w:p w:rsidR="0062616B" w:rsidRDefault="0062616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ведущий специалист-эксперт отдела экономики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Чебоксарского района (секретарь Комиссии);</w:t>
            </w: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2616B" w:rsidTr="0062616B">
        <w:tc>
          <w:tcPr>
            <w:tcW w:w="2978" w:type="dxa"/>
            <w:hideMark/>
          </w:tcPr>
          <w:p w:rsidR="0062616B" w:rsidRDefault="0062616B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Емельянова Татьяна Егоровна</w:t>
            </w:r>
          </w:p>
        </w:tc>
        <w:tc>
          <w:tcPr>
            <w:tcW w:w="346" w:type="dxa"/>
            <w:hideMark/>
          </w:tcPr>
          <w:p w:rsidR="0062616B" w:rsidRDefault="0062616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  <w:hideMark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ведущий специалист-эксперт отдела экономики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Чебоксарского района;</w:t>
            </w:r>
          </w:p>
        </w:tc>
      </w:tr>
      <w:tr w:rsidR="0062616B" w:rsidTr="0062616B">
        <w:tc>
          <w:tcPr>
            <w:tcW w:w="2978" w:type="dxa"/>
          </w:tcPr>
          <w:p w:rsidR="0062616B" w:rsidRDefault="0062616B">
            <w:pPr>
              <w:tabs>
                <w:tab w:val="left" w:pos="1276"/>
              </w:tabs>
              <w:spacing w:after="240"/>
              <w:rPr>
                <w:rFonts w:ascii="Times New Roman" w:hAnsi="Times New Roman"/>
                <w:szCs w:val="26"/>
                <w:highlight w:val="yellow"/>
              </w:rPr>
            </w:pPr>
          </w:p>
        </w:tc>
        <w:tc>
          <w:tcPr>
            <w:tcW w:w="346" w:type="dxa"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  <w:highlight w:val="yellow"/>
              </w:rPr>
            </w:pPr>
          </w:p>
        </w:tc>
        <w:tc>
          <w:tcPr>
            <w:tcW w:w="6707" w:type="dxa"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  <w:highlight w:val="yellow"/>
              </w:rPr>
            </w:pPr>
          </w:p>
        </w:tc>
      </w:tr>
      <w:tr w:rsidR="0062616B" w:rsidTr="0062616B">
        <w:tc>
          <w:tcPr>
            <w:tcW w:w="2978" w:type="dxa"/>
          </w:tcPr>
          <w:p w:rsidR="0062616B" w:rsidRDefault="0062616B">
            <w:pPr>
              <w:tabs>
                <w:tab w:val="left" w:pos="1276"/>
              </w:tabs>
              <w:spacing w:after="24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Михайлов Алексей 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колаевич</w:t>
            </w:r>
          </w:p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  <w:hideMark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  <w:hideMark/>
          </w:tcPr>
          <w:p w:rsidR="0062616B" w:rsidRDefault="0062616B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 Кугесьского сельского поселения (по согласованию).</w:t>
            </w:r>
          </w:p>
        </w:tc>
      </w:tr>
    </w:tbl>
    <w:p w:rsidR="0062616B" w:rsidRDefault="0062616B" w:rsidP="0062616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1460B2" w:rsidRPr="0062616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2616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2616B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62616B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0" w:rsidRDefault="00864B60">
      <w:r>
        <w:separator/>
      </w:r>
    </w:p>
  </w:endnote>
  <w:endnote w:type="continuationSeparator" w:id="0">
    <w:p w:rsidR="00864B60" w:rsidRDefault="008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6B" w:rsidRDefault="006261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8B375F">
      <w:rPr>
        <w:rFonts w:ascii="Times New Roman" w:hAnsi="Times New Roman"/>
        <w:noProof/>
        <w:snapToGrid w:val="0"/>
        <w:sz w:val="12"/>
      </w:rPr>
      <w:t>09.06.2022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64B60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B375F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B375F">
      <w:rPr>
        <w:rFonts w:ascii="Times New Roman" w:hAnsi="Times New Roman"/>
        <w:noProof/>
        <w:snapToGrid w:val="0"/>
        <w:sz w:val="12"/>
        <w:lang w:val="en-US"/>
      </w:rPr>
      <w:t>9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0" w:rsidRDefault="00864B60">
      <w:r>
        <w:separator/>
      </w:r>
    </w:p>
  </w:footnote>
  <w:footnote w:type="continuationSeparator" w:id="0">
    <w:p w:rsidR="00864B60" w:rsidRDefault="0086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6B" w:rsidRDefault="00626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6B" w:rsidRDefault="006261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B375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B375F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09.06.2022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B375F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678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CFF68CC"/>
    <w:multiLevelType w:val="hybridMultilevel"/>
    <w:tmpl w:val="A3C0AE92"/>
    <w:lvl w:ilvl="0" w:tplc="F59030B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6D1812"/>
    <w:multiLevelType w:val="multilevel"/>
    <w:tmpl w:val="27A8C4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60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2616B"/>
    <w:rsid w:val="00686156"/>
    <w:rsid w:val="0070442D"/>
    <w:rsid w:val="007046D2"/>
    <w:rsid w:val="0076051A"/>
    <w:rsid w:val="007F72D9"/>
    <w:rsid w:val="00864B60"/>
    <w:rsid w:val="008B375F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6B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2022-06-09T12:18:00Z</dcterms:created>
  <dcterms:modified xsi:type="dcterms:W3CDTF">2022-06-09T12:22:00Z</dcterms:modified>
</cp:coreProperties>
</file>