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EB" w:rsidRPr="005F61EB" w:rsidRDefault="005F61EB" w:rsidP="005F61EB">
      <w:pPr>
        <w:pStyle w:val="a3"/>
        <w:tabs>
          <w:tab w:val="left" w:pos="675"/>
          <w:tab w:val="left" w:pos="4962"/>
        </w:tabs>
        <w:ind w:firstLine="142"/>
        <w:jc w:val="left"/>
        <w:rPr>
          <w:b/>
          <w:sz w:val="24"/>
          <w:szCs w:val="24"/>
        </w:rPr>
      </w:pPr>
      <w:r>
        <w:rPr>
          <w:b/>
          <w:sz w:val="24"/>
          <w:szCs w:val="24"/>
        </w:rPr>
        <w:tab/>
      </w:r>
    </w:p>
    <w:tbl>
      <w:tblPr>
        <w:tblW w:w="0" w:type="auto"/>
        <w:tblLook w:val="01E0" w:firstRow="1" w:lastRow="1" w:firstColumn="1" w:lastColumn="1" w:noHBand="0" w:noVBand="0"/>
      </w:tblPr>
      <w:tblGrid>
        <w:gridCol w:w="3615"/>
        <w:gridCol w:w="2029"/>
        <w:gridCol w:w="3715"/>
      </w:tblGrid>
      <w:tr w:rsidR="005F61EB" w:rsidRPr="005F61EB" w:rsidTr="005F61EB">
        <w:trPr>
          <w:trHeight w:val="3015"/>
        </w:trPr>
        <w:tc>
          <w:tcPr>
            <w:tcW w:w="3615" w:type="dxa"/>
          </w:tcPr>
          <w:p w:rsidR="00BE71DB" w:rsidRPr="00E750A4" w:rsidRDefault="00BE71DB" w:rsidP="00BE71DB">
            <w:pPr>
              <w:pStyle w:val="1"/>
            </w:pPr>
            <w:r w:rsidRPr="00E750A4">
              <w:t xml:space="preserve"> </w:t>
            </w:r>
            <w:r w:rsidR="001459E8" w:rsidRPr="00E750A4">
              <w:t>Ч</w:t>
            </w:r>
            <w:r w:rsidR="001459E8" w:rsidRPr="00E750A4">
              <w:rPr>
                <w:rFonts w:ascii="MS Mincho" w:eastAsia="MS Mincho" w:hAnsi="MS Mincho" w:cs="MS Mincho" w:hint="eastAsia"/>
                <w:shd w:val="clear" w:color="auto" w:fill="FFFFFF"/>
              </w:rPr>
              <w:t>ӑ</w:t>
            </w:r>
            <w:r w:rsidR="008F1736" w:rsidRPr="00E750A4">
              <w:t>ваш</w:t>
            </w:r>
            <w:r w:rsidRPr="00E750A4">
              <w:t xml:space="preserve"> Республики</w:t>
            </w:r>
          </w:p>
          <w:p w:rsidR="00BE71DB" w:rsidRPr="00E750A4" w:rsidRDefault="008F1736" w:rsidP="00BE71DB">
            <w:pPr>
              <w:spacing w:line="240" w:lineRule="auto"/>
              <w:jc w:val="center"/>
              <w:rPr>
                <w:rFonts w:ascii="Times New Roman" w:hAnsi="Times New Roman" w:cs="Times New Roman"/>
                <w:b/>
                <w:sz w:val="24"/>
                <w:szCs w:val="24"/>
              </w:rPr>
            </w:pPr>
            <w:r w:rsidRPr="00E750A4">
              <w:rPr>
                <w:rFonts w:ascii="Times New Roman" w:hAnsi="Times New Roman" w:cs="Times New Roman"/>
                <w:b/>
                <w:sz w:val="24"/>
                <w:szCs w:val="24"/>
              </w:rPr>
              <w:t>Улат</w:t>
            </w:r>
            <w:r w:rsidR="001459E8" w:rsidRPr="00E750A4">
              <w:rPr>
                <w:rFonts w:ascii="MS Mincho" w:eastAsia="MS Mincho" w:hAnsi="MS Mincho" w:cs="MS Mincho" w:hint="eastAsia"/>
                <w:b/>
                <w:sz w:val="24"/>
                <w:szCs w:val="24"/>
                <w:shd w:val="clear" w:color="auto" w:fill="FFFFFF"/>
              </w:rPr>
              <w:t>ӑ</w:t>
            </w:r>
            <w:r w:rsidR="00BE71DB" w:rsidRPr="00E750A4">
              <w:rPr>
                <w:rFonts w:ascii="Times New Roman" w:hAnsi="Times New Roman" w:cs="Times New Roman"/>
                <w:b/>
                <w:sz w:val="24"/>
                <w:szCs w:val="24"/>
              </w:rPr>
              <w:t xml:space="preserve">р хула </w:t>
            </w:r>
          </w:p>
          <w:p w:rsidR="00BE71DB" w:rsidRPr="00E750A4" w:rsidRDefault="00BE71DB" w:rsidP="00BE71DB">
            <w:pPr>
              <w:spacing w:line="240" w:lineRule="auto"/>
              <w:jc w:val="center"/>
              <w:rPr>
                <w:rFonts w:ascii="Times New Roman" w:hAnsi="Times New Roman" w:cs="Times New Roman"/>
                <w:b/>
                <w:sz w:val="24"/>
                <w:szCs w:val="24"/>
              </w:rPr>
            </w:pPr>
            <w:r w:rsidRPr="00E750A4">
              <w:rPr>
                <w:rFonts w:ascii="Times New Roman" w:hAnsi="Times New Roman" w:cs="Times New Roman"/>
                <w:b/>
                <w:sz w:val="24"/>
                <w:szCs w:val="24"/>
              </w:rPr>
              <w:t>АДМИНИСТРАЦИЙЕ</w:t>
            </w:r>
          </w:p>
          <w:p w:rsidR="00BE71DB" w:rsidRPr="00E750A4" w:rsidRDefault="00BE71DB" w:rsidP="00BE71DB">
            <w:pPr>
              <w:pStyle w:val="a9"/>
              <w:framePr w:w="0" w:hRule="auto" w:hSpace="0" w:wrap="auto" w:vAnchor="margin" w:hAnchor="text" w:xAlign="left" w:yAlign="inline"/>
              <w:ind w:firstLine="0"/>
              <w:jc w:val="left"/>
              <w:rPr>
                <w:rFonts w:ascii="Times New Roman" w:hAnsi="Times New Roman"/>
                <w:sz w:val="24"/>
              </w:rPr>
            </w:pPr>
            <w:r w:rsidRPr="00E750A4">
              <w:rPr>
                <w:rFonts w:ascii="Times New Roman" w:eastAsiaTheme="minorEastAsia" w:hAnsi="Times New Roman"/>
                <w:bCs/>
                <w:sz w:val="24"/>
              </w:rPr>
              <w:t xml:space="preserve">                     </w:t>
            </w:r>
            <w:r w:rsidRPr="00E750A4">
              <w:rPr>
                <w:rFonts w:ascii="Times New Roman" w:hAnsi="Times New Roman"/>
                <w:sz w:val="24"/>
              </w:rPr>
              <w:t>ХУШУ</w:t>
            </w:r>
          </w:p>
          <w:p w:rsidR="00BE71DB" w:rsidRPr="00E750A4" w:rsidRDefault="00BE71DB" w:rsidP="00BE71DB">
            <w:pPr>
              <w:spacing w:line="240" w:lineRule="auto"/>
              <w:jc w:val="center"/>
              <w:rPr>
                <w:rFonts w:ascii="Times New Roman" w:hAnsi="Times New Roman" w:cs="Times New Roman"/>
                <w:b/>
                <w:sz w:val="24"/>
                <w:szCs w:val="24"/>
              </w:rPr>
            </w:pPr>
          </w:p>
          <w:p w:rsidR="00BE71DB" w:rsidRPr="00B30AFD" w:rsidRDefault="00BE71DB" w:rsidP="00BE71DB">
            <w:pPr>
              <w:spacing w:line="240" w:lineRule="auto"/>
              <w:jc w:val="center"/>
              <w:rPr>
                <w:rFonts w:ascii="Times New Roman" w:hAnsi="Times New Roman" w:cs="Times New Roman"/>
                <w:b/>
                <w:sz w:val="24"/>
                <w:szCs w:val="24"/>
                <w:lang w:val="en-US"/>
              </w:rPr>
            </w:pPr>
            <w:r w:rsidRPr="00E750A4">
              <w:rPr>
                <w:rFonts w:ascii="Times New Roman" w:hAnsi="Times New Roman" w:cs="Times New Roman"/>
                <w:b/>
                <w:sz w:val="24"/>
                <w:szCs w:val="24"/>
              </w:rPr>
              <w:t>«</w:t>
            </w:r>
            <w:r w:rsidR="00B30AFD">
              <w:rPr>
                <w:rFonts w:ascii="Times New Roman" w:hAnsi="Times New Roman" w:cs="Times New Roman"/>
                <w:b/>
                <w:sz w:val="24"/>
                <w:szCs w:val="24"/>
                <w:lang w:val="en-US"/>
              </w:rPr>
              <w:t>11</w:t>
            </w:r>
            <w:r w:rsidRPr="00E750A4">
              <w:rPr>
                <w:rFonts w:ascii="Times New Roman" w:hAnsi="Times New Roman" w:cs="Times New Roman"/>
                <w:b/>
                <w:sz w:val="24"/>
                <w:szCs w:val="24"/>
              </w:rPr>
              <w:t xml:space="preserve">»   </w:t>
            </w:r>
            <w:r w:rsidR="004838A3">
              <w:rPr>
                <w:rFonts w:ascii="Times New Roman" w:hAnsi="Times New Roman" w:cs="Times New Roman"/>
                <w:b/>
                <w:sz w:val="24"/>
                <w:szCs w:val="24"/>
              </w:rPr>
              <w:t xml:space="preserve"> </w:t>
            </w:r>
            <w:r w:rsidR="00B30AFD">
              <w:rPr>
                <w:rFonts w:ascii="Times New Roman" w:hAnsi="Times New Roman" w:cs="Times New Roman"/>
                <w:b/>
                <w:sz w:val="24"/>
                <w:szCs w:val="24"/>
                <w:lang w:val="en-US"/>
              </w:rPr>
              <w:t>05</w:t>
            </w:r>
            <w:r w:rsidR="004838A3">
              <w:rPr>
                <w:rFonts w:ascii="Times New Roman" w:hAnsi="Times New Roman" w:cs="Times New Roman"/>
                <w:b/>
                <w:sz w:val="24"/>
                <w:szCs w:val="24"/>
              </w:rPr>
              <w:t xml:space="preserve">    </w:t>
            </w:r>
            <w:r w:rsidRPr="00E750A4">
              <w:rPr>
                <w:rFonts w:ascii="Times New Roman" w:hAnsi="Times New Roman" w:cs="Times New Roman"/>
                <w:b/>
                <w:sz w:val="24"/>
                <w:szCs w:val="24"/>
              </w:rPr>
              <w:t xml:space="preserve"> </w:t>
            </w:r>
            <w:r w:rsidR="001459E8" w:rsidRPr="00E750A4">
              <w:rPr>
                <w:rFonts w:ascii="Times New Roman" w:hAnsi="Times New Roman" w:cs="Times New Roman"/>
                <w:b/>
                <w:sz w:val="24"/>
                <w:szCs w:val="24"/>
              </w:rPr>
              <w:t xml:space="preserve"> </w:t>
            </w:r>
            <w:r w:rsidR="004838A3">
              <w:rPr>
                <w:rFonts w:ascii="Times New Roman" w:hAnsi="Times New Roman" w:cs="Times New Roman"/>
                <w:b/>
                <w:sz w:val="24"/>
                <w:szCs w:val="24"/>
              </w:rPr>
              <w:t>2022</w:t>
            </w:r>
            <w:r w:rsidRPr="00E750A4">
              <w:rPr>
                <w:rFonts w:ascii="Times New Roman" w:hAnsi="Times New Roman" w:cs="Times New Roman"/>
                <w:b/>
                <w:sz w:val="24"/>
                <w:szCs w:val="24"/>
              </w:rPr>
              <w:t xml:space="preserve"> г</w:t>
            </w:r>
            <w:r w:rsidR="001459E8" w:rsidRPr="00E750A4">
              <w:rPr>
                <w:rFonts w:ascii="Times New Roman" w:hAnsi="Times New Roman" w:cs="Times New Roman"/>
                <w:b/>
                <w:sz w:val="24"/>
                <w:szCs w:val="24"/>
              </w:rPr>
              <w:t>.</w:t>
            </w:r>
            <w:r w:rsidRPr="00E750A4">
              <w:rPr>
                <w:rFonts w:ascii="Times New Roman" w:hAnsi="Times New Roman" w:cs="Times New Roman"/>
                <w:b/>
                <w:sz w:val="24"/>
                <w:szCs w:val="24"/>
              </w:rPr>
              <w:t xml:space="preserve"> №</w:t>
            </w:r>
            <w:r w:rsidR="00B30AFD">
              <w:rPr>
                <w:rFonts w:ascii="Times New Roman" w:hAnsi="Times New Roman" w:cs="Times New Roman"/>
                <w:b/>
                <w:sz w:val="24"/>
                <w:szCs w:val="24"/>
                <w:lang w:val="en-US"/>
              </w:rPr>
              <w:t xml:space="preserve"> 138</w:t>
            </w:r>
          </w:p>
          <w:p w:rsidR="00BE71DB" w:rsidRPr="00E750A4" w:rsidRDefault="00BE71DB" w:rsidP="00BE71DB">
            <w:pPr>
              <w:spacing w:line="240" w:lineRule="auto"/>
              <w:rPr>
                <w:rFonts w:ascii="Times New Roman" w:hAnsi="Times New Roman" w:cs="Times New Roman"/>
                <w:b/>
                <w:sz w:val="24"/>
                <w:szCs w:val="24"/>
              </w:rPr>
            </w:pPr>
            <w:r w:rsidRPr="00E750A4">
              <w:rPr>
                <w:rFonts w:ascii="Times New Roman" w:hAnsi="Times New Roman" w:cs="Times New Roman"/>
                <w:b/>
                <w:sz w:val="24"/>
                <w:szCs w:val="24"/>
              </w:rPr>
              <w:t xml:space="preserve">                 Улат</w:t>
            </w:r>
            <w:r w:rsidR="001459E8" w:rsidRPr="00E750A4">
              <w:rPr>
                <w:rFonts w:ascii="MS Mincho" w:eastAsia="MS Mincho" w:hAnsi="MS Mincho" w:cs="MS Mincho" w:hint="eastAsia"/>
                <w:b/>
                <w:sz w:val="24"/>
                <w:szCs w:val="24"/>
                <w:shd w:val="clear" w:color="auto" w:fill="FFFFFF"/>
              </w:rPr>
              <w:t>ӑ</w:t>
            </w:r>
            <w:r w:rsidRPr="00E750A4">
              <w:rPr>
                <w:rFonts w:ascii="Times New Roman" w:hAnsi="Times New Roman" w:cs="Times New Roman"/>
                <w:b/>
                <w:sz w:val="24"/>
                <w:szCs w:val="24"/>
              </w:rPr>
              <w:t>р хули</w:t>
            </w:r>
          </w:p>
          <w:p w:rsidR="005F61EB" w:rsidRPr="00E750A4" w:rsidRDefault="005F61EB" w:rsidP="005F61EB">
            <w:pPr>
              <w:numPr>
                <w:ilvl w:val="12"/>
                <w:numId w:val="0"/>
              </w:numPr>
              <w:spacing w:after="0"/>
              <w:ind w:right="-1"/>
              <w:jc w:val="both"/>
              <w:rPr>
                <w:rFonts w:ascii="Times New Roman" w:hAnsi="Times New Roman" w:cs="Times New Roman"/>
                <w:b/>
                <w:sz w:val="24"/>
                <w:szCs w:val="24"/>
              </w:rPr>
            </w:pPr>
          </w:p>
        </w:tc>
        <w:tc>
          <w:tcPr>
            <w:tcW w:w="2029" w:type="dxa"/>
          </w:tcPr>
          <w:p w:rsidR="005F61EB" w:rsidRPr="005F61EB" w:rsidRDefault="005F61EB" w:rsidP="005F61EB">
            <w:pPr>
              <w:numPr>
                <w:ilvl w:val="12"/>
                <w:numId w:val="0"/>
              </w:numPr>
              <w:spacing w:after="0"/>
              <w:ind w:right="-1"/>
              <w:jc w:val="center"/>
              <w:rPr>
                <w:rFonts w:ascii="Times New Roman" w:hAnsi="Times New Roman" w:cs="Times New Roman"/>
                <w:b/>
                <w:sz w:val="24"/>
                <w:szCs w:val="24"/>
              </w:rPr>
            </w:pPr>
            <w:r w:rsidRPr="005F61EB">
              <w:rPr>
                <w:rFonts w:ascii="Times New Roman" w:hAnsi="Times New Roman" w:cs="Times New Roman"/>
                <w:b/>
                <w:noProof/>
                <w:color w:val="000000"/>
                <w:sz w:val="24"/>
                <w:szCs w:val="24"/>
              </w:rPr>
              <w:drawing>
                <wp:inline distT="0" distB="0" distL="0" distR="0">
                  <wp:extent cx="904875" cy="1238250"/>
                  <wp:effectExtent l="19050" t="0" r="9525" b="0"/>
                  <wp:docPr id="1" name="Рисунок 1" descr="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словой3"/>
                          <pic:cNvPicPr>
                            <a:picLocks noChangeAspect="1" noChangeArrowheads="1"/>
                          </pic:cNvPicPr>
                        </pic:nvPicPr>
                        <pic:blipFill>
                          <a:blip r:embed="rId6" cstate="print"/>
                          <a:srcRect/>
                          <a:stretch>
                            <a:fillRect/>
                          </a:stretch>
                        </pic:blipFill>
                        <pic:spPr bwMode="auto">
                          <a:xfrm>
                            <a:off x="0" y="0"/>
                            <a:ext cx="904875" cy="1238250"/>
                          </a:xfrm>
                          <a:prstGeom prst="rect">
                            <a:avLst/>
                          </a:prstGeom>
                          <a:noFill/>
                          <a:ln w="9525">
                            <a:noFill/>
                            <a:miter lim="800000"/>
                            <a:headEnd/>
                            <a:tailEnd/>
                          </a:ln>
                        </pic:spPr>
                      </pic:pic>
                    </a:graphicData>
                  </a:graphic>
                </wp:inline>
              </w:drawing>
            </w:r>
          </w:p>
        </w:tc>
        <w:tc>
          <w:tcPr>
            <w:tcW w:w="3715" w:type="dxa"/>
          </w:tcPr>
          <w:p w:rsidR="005F61EB" w:rsidRPr="005F61EB" w:rsidRDefault="005F61EB" w:rsidP="005F61EB">
            <w:pPr>
              <w:spacing w:after="0" w:line="240" w:lineRule="auto"/>
              <w:jc w:val="center"/>
              <w:rPr>
                <w:rFonts w:ascii="Times New Roman" w:hAnsi="Times New Roman" w:cs="Times New Roman"/>
                <w:b/>
                <w:sz w:val="24"/>
                <w:szCs w:val="24"/>
              </w:rPr>
            </w:pPr>
            <w:r w:rsidRPr="005F61EB">
              <w:rPr>
                <w:rFonts w:ascii="Times New Roman" w:hAnsi="Times New Roman" w:cs="Times New Roman"/>
                <w:b/>
                <w:sz w:val="24"/>
                <w:szCs w:val="24"/>
              </w:rPr>
              <w:t>ЧУВАШСКАЯ РЕСПУБЛИКА</w:t>
            </w:r>
          </w:p>
          <w:p w:rsidR="005F61EB" w:rsidRPr="005F61EB" w:rsidRDefault="005F61EB" w:rsidP="005F61EB">
            <w:pPr>
              <w:spacing w:after="0" w:line="240" w:lineRule="auto"/>
              <w:jc w:val="center"/>
              <w:rPr>
                <w:rFonts w:ascii="Times New Roman" w:hAnsi="Times New Roman" w:cs="Times New Roman"/>
                <w:b/>
                <w:sz w:val="24"/>
                <w:szCs w:val="24"/>
              </w:rPr>
            </w:pPr>
            <w:r w:rsidRPr="005F61EB">
              <w:rPr>
                <w:rFonts w:ascii="Times New Roman" w:hAnsi="Times New Roman" w:cs="Times New Roman"/>
                <w:b/>
                <w:sz w:val="24"/>
                <w:szCs w:val="24"/>
              </w:rPr>
              <w:t>АДМИНИСТРАЦИЯ</w:t>
            </w:r>
          </w:p>
          <w:p w:rsidR="005F61EB" w:rsidRPr="005F61EB" w:rsidRDefault="005F61EB" w:rsidP="005F61EB">
            <w:pPr>
              <w:spacing w:after="0" w:line="240" w:lineRule="auto"/>
              <w:jc w:val="center"/>
              <w:rPr>
                <w:rFonts w:ascii="Times New Roman" w:hAnsi="Times New Roman" w:cs="Times New Roman"/>
                <w:b/>
                <w:sz w:val="24"/>
                <w:szCs w:val="24"/>
              </w:rPr>
            </w:pPr>
            <w:r w:rsidRPr="005F61EB">
              <w:rPr>
                <w:rFonts w:ascii="Times New Roman" w:hAnsi="Times New Roman" w:cs="Times New Roman"/>
                <w:b/>
                <w:sz w:val="24"/>
                <w:szCs w:val="24"/>
              </w:rPr>
              <w:t>города Алатыря</w:t>
            </w:r>
          </w:p>
          <w:p w:rsidR="005F61EB" w:rsidRPr="005F61EB" w:rsidRDefault="005F61EB" w:rsidP="005F61EB">
            <w:pPr>
              <w:spacing w:after="0" w:line="240" w:lineRule="auto"/>
              <w:jc w:val="center"/>
              <w:rPr>
                <w:rFonts w:ascii="Times New Roman" w:hAnsi="Times New Roman" w:cs="Times New Roman"/>
                <w:b/>
                <w:sz w:val="24"/>
                <w:szCs w:val="24"/>
              </w:rPr>
            </w:pPr>
          </w:p>
          <w:p w:rsidR="005F61EB" w:rsidRPr="005F61EB" w:rsidRDefault="005F61EB" w:rsidP="005F61EB">
            <w:pPr>
              <w:spacing w:after="0"/>
              <w:jc w:val="center"/>
              <w:rPr>
                <w:rFonts w:ascii="Times New Roman" w:hAnsi="Times New Roman" w:cs="Times New Roman"/>
                <w:b/>
                <w:sz w:val="24"/>
                <w:szCs w:val="24"/>
              </w:rPr>
            </w:pPr>
            <w:r w:rsidRPr="005F61EB">
              <w:rPr>
                <w:rFonts w:ascii="Times New Roman" w:hAnsi="Times New Roman" w:cs="Times New Roman"/>
                <w:b/>
                <w:sz w:val="24"/>
                <w:szCs w:val="24"/>
              </w:rPr>
              <w:t>РАСПОРЯЖЕНИЕ</w:t>
            </w:r>
          </w:p>
          <w:p w:rsidR="005F61EB" w:rsidRPr="005F61EB" w:rsidRDefault="005F61EB" w:rsidP="005F61EB">
            <w:pPr>
              <w:spacing w:after="0"/>
              <w:jc w:val="center"/>
              <w:rPr>
                <w:rFonts w:ascii="Times New Roman" w:hAnsi="Times New Roman" w:cs="Times New Roman"/>
                <w:b/>
                <w:sz w:val="24"/>
                <w:szCs w:val="24"/>
              </w:rPr>
            </w:pPr>
          </w:p>
          <w:p w:rsidR="005F61EB" w:rsidRPr="005F61EB" w:rsidRDefault="004838A3" w:rsidP="004838A3">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30AF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F61EB" w:rsidRPr="005F61EB">
              <w:rPr>
                <w:rFonts w:ascii="Times New Roman" w:hAnsi="Times New Roman" w:cs="Times New Roman"/>
                <w:b/>
                <w:sz w:val="24"/>
                <w:szCs w:val="24"/>
              </w:rPr>
              <w:t xml:space="preserve"> «</w:t>
            </w:r>
            <w:proofErr w:type="gramStart"/>
            <w:r w:rsidR="00B30AFD">
              <w:rPr>
                <w:rFonts w:ascii="Times New Roman" w:hAnsi="Times New Roman" w:cs="Times New Roman"/>
                <w:b/>
                <w:sz w:val="24"/>
                <w:szCs w:val="24"/>
                <w:lang w:val="en-US"/>
              </w:rPr>
              <w:t>11</w:t>
            </w:r>
            <w:r w:rsidR="000D693C">
              <w:rPr>
                <w:rFonts w:ascii="Times New Roman" w:hAnsi="Times New Roman" w:cs="Times New Roman"/>
                <w:b/>
                <w:sz w:val="24"/>
                <w:szCs w:val="24"/>
              </w:rPr>
              <w:t xml:space="preserve">» </w:t>
            </w:r>
            <w:r w:rsidR="00B30AFD">
              <w:rPr>
                <w:rFonts w:ascii="Times New Roman" w:hAnsi="Times New Roman" w:cs="Times New Roman"/>
                <w:b/>
                <w:sz w:val="24"/>
                <w:szCs w:val="24"/>
              </w:rPr>
              <w:t xml:space="preserve"> </w:t>
            </w:r>
            <w:r w:rsidR="000D693C">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00B30AFD">
              <w:rPr>
                <w:rFonts w:ascii="Times New Roman" w:hAnsi="Times New Roman" w:cs="Times New Roman"/>
                <w:b/>
                <w:sz w:val="24"/>
                <w:szCs w:val="24"/>
              </w:rPr>
              <w:t>мая</w:t>
            </w:r>
            <w:r>
              <w:rPr>
                <w:rFonts w:ascii="Times New Roman" w:hAnsi="Times New Roman" w:cs="Times New Roman"/>
                <w:b/>
                <w:sz w:val="24"/>
                <w:szCs w:val="24"/>
              </w:rPr>
              <w:t xml:space="preserve">     2022</w:t>
            </w:r>
            <w:r w:rsidR="005F61EB" w:rsidRPr="005F61EB">
              <w:rPr>
                <w:rFonts w:ascii="Times New Roman" w:hAnsi="Times New Roman" w:cs="Times New Roman"/>
                <w:b/>
                <w:sz w:val="24"/>
                <w:szCs w:val="24"/>
              </w:rPr>
              <w:t xml:space="preserve"> г. № </w:t>
            </w:r>
            <w:r w:rsidR="00B30AFD">
              <w:rPr>
                <w:rFonts w:ascii="Times New Roman" w:hAnsi="Times New Roman" w:cs="Times New Roman"/>
                <w:b/>
                <w:sz w:val="24"/>
                <w:szCs w:val="24"/>
              </w:rPr>
              <w:t xml:space="preserve"> 138</w:t>
            </w:r>
            <w:r w:rsidR="005F61EB" w:rsidRPr="005F61EB">
              <w:rPr>
                <w:rFonts w:ascii="Times New Roman" w:hAnsi="Times New Roman" w:cs="Times New Roman"/>
                <w:b/>
                <w:sz w:val="24"/>
                <w:szCs w:val="24"/>
                <w:u w:val="single"/>
              </w:rPr>
              <w:t xml:space="preserve">  </w:t>
            </w:r>
            <w:r w:rsidR="005F61EB" w:rsidRPr="005F61EB">
              <w:rPr>
                <w:rFonts w:ascii="Times New Roman" w:hAnsi="Times New Roman" w:cs="Times New Roman"/>
                <w:b/>
                <w:sz w:val="24"/>
                <w:szCs w:val="24"/>
              </w:rPr>
              <w:t xml:space="preserve">   </w:t>
            </w:r>
          </w:p>
          <w:p w:rsidR="005F61EB" w:rsidRPr="005F61EB" w:rsidRDefault="005F61EB" w:rsidP="005F61EB">
            <w:pPr>
              <w:spacing w:after="0"/>
              <w:jc w:val="center"/>
              <w:rPr>
                <w:rFonts w:ascii="Times New Roman" w:hAnsi="Times New Roman" w:cs="Times New Roman"/>
                <w:b/>
                <w:sz w:val="24"/>
                <w:szCs w:val="24"/>
              </w:rPr>
            </w:pPr>
            <w:r w:rsidRPr="005F61EB">
              <w:rPr>
                <w:rFonts w:ascii="Times New Roman" w:hAnsi="Times New Roman" w:cs="Times New Roman"/>
                <w:b/>
                <w:sz w:val="24"/>
                <w:szCs w:val="24"/>
              </w:rPr>
              <w:t>г. Алатырь</w:t>
            </w:r>
          </w:p>
          <w:p w:rsidR="005F61EB" w:rsidRPr="005F61EB" w:rsidRDefault="005F61EB" w:rsidP="005F61EB">
            <w:pPr>
              <w:numPr>
                <w:ilvl w:val="12"/>
                <w:numId w:val="0"/>
              </w:numPr>
              <w:spacing w:after="0"/>
              <w:jc w:val="center"/>
              <w:rPr>
                <w:rFonts w:ascii="Times New Roman" w:hAnsi="Times New Roman" w:cs="Times New Roman"/>
                <w:b/>
                <w:sz w:val="24"/>
                <w:szCs w:val="24"/>
              </w:rPr>
            </w:pPr>
          </w:p>
        </w:tc>
      </w:tr>
    </w:tbl>
    <w:p w:rsidR="005F61EB" w:rsidRPr="005F61EB" w:rsidRDefault="005F61EB" w:rsidP="00EF1183">
      <w:pPr>
        <w:pStyle w:val="a3"/>
        <w:tabs>
          <w:tab w:val="left" w:pos="4962"/>
        </w:tabs>
        <w:ind w:firstLine="142"/>
        <w:rPr>
          <w:b/>
          <w:sz w:val="24"/>
          <w:szCs w:val="24"/>
        </w:rPr>
      </w:pPr>
    </w:p>
    <w:p w:rsidR="00EF1183" w:rsidRPr="00531BA4" w:rsidRDefault="00EF1183" w:rsidP="00EF1183">
      <w:pPr>
        <w:keepNext/>
        <w:spacing w:after="0" w:line="240" w:lineRule="auto"/>
        <w:jc w:val="both"/>
        <w:outlineLvl w:val="0"/>
        <w:rPr>
          <w:rFonts w:ascii="Times New Roman" w:eastAsia="Times New Roman" w:hAnsi="Times New Roman" w:cs="Times New Roman"/>
          <w:b/>
          <w:bCs/>
          <w:sz w:val="28"/>
          <w:szCs w:val="28"/>
        </w:rPr>
      </w:pPr>
      <w:r w:rsidRPr="00531BA4">
        <w:rPr>
          <w:rFonts w:ascii="Times New Roman" w:eastAsia="Times New Roman" w:hAnsi="Times New Roman" w:cs="Times New Roman"/>
          <w:b/>
          <w:bCs/>
          <w:sz w:val="28"/>
          <w:szCs w:val="28"/>
        </w:rPr>
        <w:t xml:space="preserve">О назначении контрактного управляющего </w:t>
      </w:r>
    </w:p>
    <w:p w:rsidR="00EF1183" w:rsidRPr="00531BA4" w:rsidRDefault="00EF1183" w:rsidP="00EF1183">
      <w:pPr>
        <w:keepNext/>
        <w:spacing w:after="0" w:line="240" w:lineRule="auto"/>
        <w:jc w:val="both"/>
        <w:outlineLvl w:val="0"/>
        <w:rPr>
          <w:rFonts w:ascii="Times New Roman" w:eastAsia="Times New Roman" w:hAnsi="Times New Roman" w:cs="Times New Roman"/>
          <w:b/>
          <w:bCs/>
          <w:sz w:val="28"/>
          <w:szCs w:val="28"/>
        </w:rPr>
      </w:pPr>
      <w:r w:rsidRPr="00531BA4">
        <w:rPr>
          <w:rFonts w:ascii="Times New Roman" w:eastAsia="Times New Roman" w:hAnsi="Times New Roman" w:cs="Times New Roman"/>
          <w:b/>
          <w:bCs/>
          <w:sz w:val="28"/>
          <w:szCs w:val="28"/>
        </w:rPr>
        <w:t>в администрации города Алатыря</w:t>
      </w:r>
    </w:p>
    <w:p w:rsidR="00EF1183" w:rsidRPr="00531BA4" w:rsidRDefault="00EF1183" w:rsidP="00EF1183">
      <w:pPr>
        <w:keepNext/>
        <w:spacing w:after="0" w:line="240" w:lineRule="auto"/>
        <w:jc w:val="both"/>
        <w:outlineLvl w:val="0"/>
        <w:rPr>
          <w:rFonts w:ascii="Times New Roman" w:eastAsia="Times New Roman" w:hAnsi="Times New Roman" w:cs="Times New Roman"/>
          <w:b/>
          <w:bCs/>
          <w:sz w:val="28"/>
          <w:szCs w:val="28"/>
        </w:rPr>
      </w:pPr>
      <w:r w:rsidRPr="00531BA4">
        <w:rPr>
          <w:rFonts w:ascii="Times New Roman" w:eastAsia="Times New Roman" w:hAnsi="Times New Roman" w:cs="Times New Roman"/>
          <w:b/>
          <w:bCs/>
          <w:sz w:val="28"/>
          <w:szCs w:val="28"/>
        </w:rPr>
        <w:t>Чувашской Республики</w:t>
      </w:r>
    </w:p>
    <w:p w:rsidR="00EF1183" w:rsidRPr="00531BA4" w:rsidRDefault="00EF1183" w:rsidP="00EF1183">
      <w:pPr>
        <w:spacing w:after="0" w:line="240" w:lineRule="auto"/>
        <w:jc w:val="both"/>
        <w:rPr>
          <w:rFonts w:ascii="Times New Roman" w:eastAsia="Times New Roman" w:hAnsi="Times New Roman" w:cs="Times New Roman"/>
          <w:sz w:val="28"/>
          <w:szCs w:val="28"/>
        </w:rPr>
      </w:pPr>
    </w:p>
    <w:p w:rsidR="00EF1183" w:rsidRPr="00531BA4" w:rsidRDefault="00EF1183" w:rsidP="00EF1183">
      <w:pPr>
        <w:widowControl w:val="0"/>
        <w:adjustRightInd w:val="0"/>
        <w:spacing w:after="0" w:line="240" w:lineRule="auto"/>
        <w:ind w:firstLine="720"/>
        <w:jc w:val="both"/>
        <w:rPr>
          <w:rFonts w:ascii="Times New Roman" w:eastAsia="Times New Roman" w:hAnsi="Times New Roman" w:cs="Times New Roman"/>
          <w:sz w:val="28"/>
          <w:szCs w:val="28"/>
        </w:rPr>
      </w:pPr>
    </w:p>
    <w:p w:rsidR="00531BA4" w:rsidRPr="00531BA4" w:rsidRDefault="00EF1183" w:rsidP="00EF1183">
      <w:pPr>
        <w:spacing w:after="0" w:line="240" w:lineRule="auto"/>
        <w:ind w:firstLine="720"/>
        <w:jc w:val="both"/>
        <w:rPr>
          <w:rFonts w:ascii="Times New Roman" w:eastAsia="Times New Roman" w:hAnsi="Times New Roman" w:cs="Times New Roman"/>
          <w:sz w:val="28"/>
          <w:szCs w:val="28"/>
        </w:rPr>
      </w:pPr>
      <w:r w:rsidRPr="00531BA4">
        <w:rPr>
          <w:rFonts w:ascii="Times New Roman" w:eastAsia="Times New Roman" w:hAnsi="Times New Roman" w:cs="Times New Roman"/>
          <w:sz w:val="28"/>
          <w:szCs w:val="28"/>
        </w:rPr>
        <w:t xml:space="preserve">В соответствии с Федеральным законом от 5 апреля </w:t>
      </w:r>
      <w:smartTag w:uri="urn:schemas-microsoft-com:office:smarttags" w:element="metricconverter">
        <w:smartTagPr>
          <w:attr w:name="ProductID" w:val="2013 г"/>
        </w:smartTagPr>
        <w:r w:rsidRPr="00531BA4">
          <w:rPr>
            <w:rFonts w:ascii="Times New Roman" w:eastAsia="Times New Roman" w:hAnsi="Times New Roman" w:cs="Times New Roman"/>
            <w:sz w:val="28"/>
            <w:szCs w:val="28"/>
          </w:rPr>
          <w:t>2013 г</w:t>
        </w:r>
      </w:smartTag>
      <w:r w:rsidRPr="00531BA4">
        <w:rPr>
          <w:rFonts w:ascii="Times New Roman" w:eastAsia="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w:t>
      </w:r>
    </w:p>
    <w:p w:rsidR="00531BA4" w:rsidRPr="00531BA4" w:rsidRDefault="00531BA4" w:rsidP="00EF1183">
      <w:pPr>
        <w:spacing w:after="0" w:line="240" w:lineRule="auto"/>
        <w:ind w:firstLine="720"/>
        <w:jc w:val="both"/>
        <w:rPr>
          <w:rFonts w:ascii="Times New Roman" w:eastAsia="Times New Roman" w:hAnsi="Times New Roman" w:cs="Times New Roman"/>
          <w:sz w:val="28"/>
          <w:szCs w:val="28"/>
        </w:rPr>
      </w:pPr>
    </w:p>
    <w:p w:rsidR="00531BA4" w:rsidRPr="00531BA4" w:rsidRDefault="00531BA4" w:rsidP="00EF1183">
      <w:pPr>
        <w:spacing w:after="0" w:line="240" w:lineRule="auto"/>
        <w:ind w:firstLine="720"/>
        <w:jc w:val="both"/>
        <w:rPr>
          <w:rFonts w:ascii="Times New Roman" w:eastAsia="Times New Roman" w:hAnsi="Times New Roman" w:cs="Times New Roman"/>
          <w:sz w:val="28"/>
          <w:szCs w:val="28"/>
        </w:rPr>
      </w:pPr>
    </w:p>
    <w:p w:rsidR="00EF1183" w:rsidRPr="00531BA4" w:rsidRDefault="00EF1183" w:rsidP="00EF1183">
      <w:pPr>
        <w:spacing w:after="0" w:line="240" w:lineRule="auto"/>
        <w:ind w:firstLine="720"/>
        <w:jc w:val="both"/>
        <w:rPr>
          <w:rFonts w:ascii="Times New Roman" w:eastAsia="Times New Roman" w:hAnsi="Times New Roman" w:cs="Times New Roman"/>
          <w:sz w:val="28"/>
          <w:szCs w:val="28"/>
        </w:rPr>
      </w:pPr>
      <w:r w:rsidRPr="00531BA4">
        <w:rPr>
          <w:rFonts w:ascii="Times New Roman" w:eastAsia="Times New Roman" w:hAnsi="Times New Roman" w:cs="Times New Roman"/>
          <w:sz w:val="28"/>
          <w:szCs w:val="28"/>
        </w:rPr>
        <w:t>1. Назначить контрактным управляющим в администрации города Алатыря Чувашской Республики главу администрации города Алатыря Чувашской Республики Трифонова Д.В.</w:t>
      </w:r>
    </w:p>
    <w:p w:rsidR="00EF1183" w:rsidRPr="00531BA4" w:rsidRDefault="00EF1183" w:rsidP="00EF1183">
      <w:pPr>
        <w:spacing w:after="0" w:line="240" w:lineRule="auto"/>
        <w:ind w:firstLine="720"/>
        <w:jc w:val="both"/>
        <w:rPr>
          <w:rFonts w:ascii="Times New Roman" w:eastAsia="Times New Roman" w:hAnsi="Times New Roman" w:cs="Times New Roman"/>
          <w:sz w:val="28"/>
          <w:szCs w:val="28"/>
        </w:rPr>
      </w:pPr>
      <w:r w:rsidRPr="00531BA4">
        <w:rPr>
          <w:rFonts w:ascii="Times New Roman" w:eastAsia="Times New Roman" w:hAnsi="Times New Roman" w:cs="Times New Roman"/>
          <w:sz w:val="28"/>
          <w:szCs w:val="28"/>
        </w:rPr>
        <w:t xml:space="preserve">2. Утвердить положение (регламент) о контрактном управляющем в администрации города Алатыря Чувашской Республики согласно приложению. </w:t>
      </w:r>
    </w:p>
    <w:p w:rsidR="00EF1183" w:rsidRPr="00531BA4" w:rsidRDefault="00EF1183" w:rsidP="00EF1183">
      <w:pPr>
        <w:spacing w:after="0" w:line="240" w:lineRule="auto"/>
        <w:ind w:firstLine="720"/>
        <w:jc w:val="both"/>
        <w:rPr>
          <w:rFonts w:ascii="Times New Roman" w:eastAsia="Times New Roman" w:hAnsi="Times New Roman" w:cs="Times New Roman"/>
          <w:sz w:val="28"/>
          <w:szCs w:val="28"/>
        </w:rPr>
      </w:pPr>
      <w:r w:rsidRPr="00531BA4">
        <w:rPr>
          <w:rFonts w:ascii="Times New Roman" w:eastAsia="Times New Roman" w:hAnsi="Times New Roman" w:cs="Times New Roman"/>
          <w:sz w:val="28"/>
          <w:szCs w:val="28"/>
        </w:rPr>
        <w:t>3. Настоящее распоряжение вступает в силу с момента подписания и распространяется на правоотношения, возникшие с 25 февраля 2022 года.</w:t>
      </w:r>
    </w:p>
    <w:p w:rsidR="00EF1183" w:rsidRPr="00531BA4" w:rsidRDefault="00EF1183" w:rsidP="00EF1183">
      <w:pPr>
        <w:spacing w:after="0" w:line="240" w:lineRule="auto"/>
        <w:ind w:firstLine="720"/>
        <w:jc w:val="both"/>
        <w:rPr>
          <w:rFonts w:ascii="Times New Roman" w:eastAsia="Times New Roman" w:hAnsi="Times New Roman" w:cs="Times New Roman"/>
          <w:sz w:val="28"/>
          <w:szCs w:val="28"/>
        </w:rPr>
      </w:pPr>
      <w:r w:rsidRPr="00531BA4">
        <w:rPr>
          <w:rFonts w:ascii="Times New Roman" w:eastAsia="Times New Roman" w:hAnsi="Times New Roman" w:cs="Times New Roman"/>
          <w:sz w:val="28"/>
          <w:szCs w:val="28"/>
        </w:rPr>
        <w:t>4. Признать утратившим силу распоряжение администрации города Алатыря Чувашской Республики от 22 сентября 2020 г. № 208 «О назначении контрактного управляющего в администрации города Алатыря Чувашской Республики».</w:t>
      </w:r>
    </w:p>
    <w:p w:rsidR="00EF1183" w:rsidRPr="00531BA4" w:rsidRDefault="00EF1183" w:rsidP="00EF1183">
      <w:pPr>
        <w:spacing w:after="0" w:line="240" w:lineRule="auto"/>
        <w:ind w:firstLine="720"/>
        <w:jc w:val="both"/>
        <w:rPr>
          <w:rFonts w:ascii="Times New Roman" w:eastAsia="Times New Roman" w:hAnsi="Times New Roman" w:cs="Times New Roman"/>
          <w:sz w:val="28"/>
          <w:szCs w:val="28"/>
        </w:rPr>
      </w:pPr>
    </w:p>
    <w:p w:rsidR="004838A3" w:rsidRPr="00531BA4" w:rsidRDefault="004838A3" w:rsidP="00EF1183">
      <w:pPr>
        <w:spacing w:after="0" w:line="240" w:lineRule="auto"/>
        <w:ind w:firstLine="720"/>
        <w:jc w:val="both"/>
        <w:rPr>
          <w:rFonts w:ascii="Times New Roman" w:eastAsia="Times New Roman" w:hAnsi="Times New Roman" w:cs="Times New Roman"/>
          <w:sz w:val="28"/>
          <w:szCs w:val="28"/>
        </w:rPr>
      </w:pPr>
    </w:p>
    <w:p w:rsidR="00EF1183" w:rsidRPr="00531BA4" w:rsidRDefault="00EF1183" w:rsidP="00EF1183">
      <w:pPr>
        <w:spacing w:after="0" w:line="240" w:lineRule="auto"/>
        <w:rPr>
          <w:rFonts w:ascii="Times New Roman" w:eastAsia="Times New Roman" w:hAnsi="Times New Roman" w:cs="Times New Roman"/>
          <w:sz w:val="28"/>
          <w:szCs w:val="28"/>
        </w:rPr>
      </w:pPr>
    </w:p>
    <w:p w:rsidR="00EF1183" w:rsidRPr="00531BA4" w:rsidRDefault="00EF1183" w:rsidP="00EF1183">
      <w:pPr>
        <w:keepNext/>
        <w:spacing w:after="0" w:line="240" w:lineRule="auto"/>
        <w:jc w:val="both"/>
        <w:outlineLvl w:val="0"/>
        <w:rPr>
          <w:rFonts w:ascii="Times New Roman" w:eastAsia="Times New Roman" w:hAnsi="Times New Roman" w:cs="Times New Roman"/>
          <w:b/>
          <w:bCs/>
          <w:sz w:val="28"/>
          <w:szCs w:val="28"/>
        </w:rPr>
      </w:pPr>
    </w:p>
    <w:p w:rsidR="00EF1183" w:rsidRPr="00531BA4" w:rsidRDefault="00EF1183" w:rsidP="00EF1183">
      <w:pPr>
        <w:spacing w:after="0" w:line="240" w:lineRule="auto"/>
        <w:jc w:val="both"/>
        <w:rPr>
          <w:rFonts w:ascii="Times New Roman" w:eastAsia="Times New Roman" w:hAnsi="Times New Roman" w:cs="Times New Roman"/>
          <w:sz w:val="28"/>
          <w:szCs w:val="28"/>
        </w:rPr>
      </w:pPr>
    </w:p>
    <w:p w:rsidR="00EF1183" w:rsidRPr="00531BA4" w:rsidRDefault="00531BA4" w:rsidP="00EF118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администрации            </w:t>
      </w:r>
      <w:r w:rsidR="00F5621D" w:rsidRPr="00531BA4">
        <w:rPr>
          <w:rFonts w:ascii="Times New Roman" w:eastAsia="Times New Roman" w:hAnsi="Times New Roman" w:cs="Times New Roman"/>
          <w:sz w:val="28"/>
          <w:szCs w:val="28"/>
        </w:rPr>
        <w:t xml:space="preserve">        </w:t>
      </w:r>
      <w:r w:rsidR="00EF1183" w:rsidRPr="00531B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F1183" w:rsidRPr="00531BA4">
        <w:rPr>
          <w:rFonts w:ascii="Times New Roman" w:eastAsia="Times New Roman" w:hAnsi="Times New Roman" w:cs="Times New Roman"/>
          <w:sz w:val="28"/>
          <w:szCs w:val="28"/>
        </w:rPr>
        <w:t xml:space="preserve">  Д.В. Трифонов</w:t>
      </w:r>
    </w:p>
    <w:p w:rsidR="00EF1183" w:rsidRPr="00531BA4" w:rsidRDefault="00EF1183" w:rsidP="00EF1183">
      <w:pPr>
        <w:spacing w:after="0" w:line="240" w:lineRule="auto"/>
        <w:jc w:val="both"/>
        <w:rPr>
          <w:rFonts w:ascii="Times New Roman" w:eastAsia="Times New Roman" w:hAnsi="Times New Roman" w:cs="Times New Roman"/>
          <w:sz w:val="28"/>
          <w:szCs w:val="28"/>
        </w:rPr>
      </w:pPr>
    </w:p>
    <w:p w:rsidR="00EF1183" w:rsidRPr="00531BA4" w:rsidRDefault="00EF1183" w:rsidP="00EF1183">
      <w:pPr>
        <w:spacing w:after="0" w:line="240" w:lineRule="auto"/>
        <w:jc w:val="both"/>
        <w:rPr>
          <w:rFonts w:ascii="Times New Roman" w:eastAsia="Times New Roman" w:hAnsi="Times New Roman" w:cs="Times New Roman"/>
          <w:sz w:val="28"/>
          <w:szCs w:val="28"/>
        </w:rPr>
      </w:pPr>
    </w:p>
    <w:p w:rsidR="00EF1183" w:rsidRPr="00EF1183" w:rsidRDefault="00EF1183" w:rsidP="00EF1183">
      <w:pPr>
        <w:spacing w:after="0" w:line="240" w:lineRule="auto"/>
        <w:jc w:val="both"/>
        <w:rPr>
          <w:rFonts w:ascii="Times New Roman" w:eastAsia="Times New Roman" w:hAnsi="Times New Roman" w:cs="Times New Roman"/>
          <w:sz w:val="24"/>
          <w:szCs w:val="24"/>
        </w:rPr>
      </w:pPr>
    </w:p>
    <w:p w:rsidR="00EF1183" w:rsidRPr="00EF1183" w:rsidRDefault="00EF1183" w:rsidP="00EF1183">
      <w:pPr>
        <w:spacing w:after="0" w:line="240" w:lineRule="auto"/>
        <w:jc w:val="both"/>
        <w:rPr>
          <w:rFonts w:ascii="Times New Roman" w:eastAsia="Times New Roman" w:hAnsi="Times New Roman" w:cs="Times New Roman"/>
          <w:sz w:val="24"/>
          <w:szCs w:val="24"/>
        </w:rPr>
      </w:pPr>
    </w:p>
    <w:p w:rsidR="00EF1183" w:rsidRPr="00EF1183" w:rsidRDefault="00EF1183" w:rsidP="00EF1183">
      <w:pPr>
        <w:spacing w:after="0" w:line="240" w:lineRule="auto"/>
        <w:jc w:val="both"/>
        <w:rPr>
          <w:rFonts w:ascii="Times New Roman" w:eastAsia="Times New Roman" w:hAnsi="Times New Roman" w:cs="Times New Roman"/>
          <w:sz w:val="24"/>
          <w:szCs w:val="24"/>
        </w:rPr>
      </w:pPr>
    </w:p>
    <w:p w:rsidR="00EF1183" w:rsidRPr="00EF1183" w:rsidRDefault="00EF1183" w:rsidP="00EF1183">
      <w:pPr>
        <w:spacing w:after="0" w:line="240" w:lineRule="auto"/>
        <w:jc w:val="both"/>
        <w:rPr>
          <w:rFonts w:ascii="Times New Roman" w:eastAsia="Times New Roman" w:hAnsi="Times New Roman" w:cs="Times New Roman"/>
          <w:sz w:val="24"/>
          <w:szCs w:val="24"/>
        </w:rPr>
      </w:pPr>
    </w:p>
    <w:p w:rsidR="00EF1183" w:rsidRPr="00EF1183" w:rsidRDefault="00EF1183" w:rsidP="00EF1183">
      <w:pPr>
        <w:spacing w:after="0" w:line="240" w:lineRule="auto"/>
        <w:jc w:val="both"/>
        <w:rPr>
          <w:rFonts w:ascii="Times New Roman" w:eastAsia="Times New Roman" w:hAnsi="Times New Roman" w:cs="Times New Roman"/>
          <w:sz w:val="16"/>
          <w:szCs w:val="16"/>
        </w:rPr>
      </w:pPr>
      <w:proofErr w:type="spellStart"/>
      <w:r w:rsidRPr="00EF1183">
        <w:rPr>
          <w:rFonts w:ascii="Times New Roman" w:eastAsia="Times New Roman" w:hAnsi="Times New Roman" w:cs="Times New Roman"/>
          <w:sz w:val="16"/>
          <w:szCs w:val="16"/>
        </w:rPr>
        <w:t>Исп</w:t>
      </w:r>
      <w:proofErr w:type="spellEnd"/>
      <w:r w:rsidRPr="00EF1183">
        <w:rPr>
          <w:rFonts w:ascii="Times New Roman" w:eastAsia="Times New Roman" w:hAnsi="Times New Roman" w:cs="Times New Roman"/>
          <w:sz w:val="16"/>
          <w:szCs w:val="16"/>
        </w:rPr>
        <w:t>: Ю.А. Рвачева.</w:t>
      </w:r>
    </w:p>
    <w:p w:rsidR="00EF1183" w:rsidRPr="00EF1183" w:rsidRDefault="00EF1183" w:rsidP="00EF1183">
      <w:pPr>
        <w:spacing w:after="0" w:line="240" w:lineRule="auto"/>
        <w:jc w:val="both"/>
        <w:rPr>
          <w:rFonts w:ascii="Times New Roman" w:eastAsia="Times New Roman" w:hAnsi="Times New Roman" w:cs="Times New Roman"/>
          <w:sz w:val="16"/>
          <w:szCs w:val="16"/>
        </w:rPr>
      </w:pPr>
      <w:r w:rsidRPr="00EF1183">
        <w:rPr>
          <w:rFonts w:ascii="Times New Roman" w:eastAsia="Times New Roman" w:hAnsi="Times New Roman" w:cs="Times New Roman"/>
          <w:sz w:val="16"/>
          <w:szCs w:val="16"/>
        </w:rPr>
        <w:t>(83531)20415</w:t>
      </w:r>
    </w:p>
    <w:p w:rsidR="00EF1183" w:rsidRPr="00EF1183" w:rsidRDefault="00EF1183" w:rsidP="00EF1183">
      <w:pPr>
        <w:spacing w:after="0" w:line="240" w:lineRule="auto"/>
        <w:jc w:val="both"/>
        <w:rPr>
          <w:rFonts w:ascii="Times New Roman" w:eastAsia="Times New Roman" w:hAnsi="Times New Roman" w:cs="Times New Roman"/>
          <w:sz w:val="16"/>
          <w:szCs w:val="16"/>
        </w:rPr>
      </w:pPr>
    </w:p>
    <w:p w:rsidR="00EF1183" w:rsidRPr="00EF1183" w:rsidRDefault="00EF1183" w:rsidP="00EF1183">
      <w:pPr>
        <w:spacing w:after="0" w:line="240" w:lineRule="auto"/>
        <w:jc w:val="both"/>
        <w:rPr>
          <w:rFonts w:ascii="Times New Roman" w:eastAsia="Times New Roman" w:hAnsi="Times New Roman" w:cs="Times New Roman"/>
          <w:sz w:val="16"/>
          <w:szCs w:val="16"/>
        </w:rPr>
      </w:pPr>
      <w:r w:rsidRPr="00EF1183">
        <w:rPr>
          <w:rFonts w:ascii="Times New Roman" w:eastAsia="Times New Roman" w:hAnsi="Times New Roman" w:cs="Times New Roman"/>
          <w:sz w:val="16"/>
          <w:szCs w:val="16"/>
        </w:rPr>
        <w:lastRenderedPageBreak/>
        <w:t xml:space="preserve">                                                                                                                                                                          </w:t>
      </w:r>
    </w:p>
    <w:p w:rsidR="00EF1183" w:rsidRPr="00EF1183" w:rsidRDefault="00EF1183" w:rsidP="00EF1183">
      <w:pPr>
        <w:spacing w:after="0" w:line="240" w:lineRule="auto"/>
        <w:jc w:val="both"/>
        <w:rPr>
          <w:rFonts w:ascii="Times New Roman" w:eastAsia="Times New Roman" w:hAnsi="Times New Roman" w:cs="Times New Roman"/>
          <w:sz w:val="16"/>
          <w:szCs w:val="16"/>
        </w:rPr>
      </w:pPr>
    </w:p>
    <w:p w:rsidR="00EF1183" w:rsidRPr="00EF1183" w:rsidRDefault="00EF1183" w:rsidP="00EF1183">
      <w:pPr>
        <w:spacing w:after="0" w:line="240" w:lineRule="auto"/>
        <w:jc w:val="both"/>
        <w:rPr>
          <w:rFonts w:ascii="Times New Roman" w:eastAsia="Times New Roman" w:hAnsi="Times New Roman" w:cs="Times New Roman"/>
          <w:sz w:val="16"/>
          <w:szCs w:val="16"/>
        </w:rPr>
      </w:pPr>
    </w:p>
    <w:p w:rsidR="00EF1183" w:rsidRPr="00EF1183" w:rsidRDefault="00EF1183" w:rsidP="00EF1183">
      <w:pPr>
        <w:spacing w:after="0" w:line="240" w:lineRule="auto"/>
        <w:ind w:firstLine="720"/>
        <w:jc w:val="right"/>
        <w:rPr>
          <w:rFonts w:ascii="Times New Roman" w:eastAsia="Times New Roman" w:hAnsi="Times New Roman" w:cs="Times New Roman"/>
          <w:sz w:val="24"/>
          <w:szCs w:val="24"/>
        </w:rPr>
      </w:pPr>
      <w:r w:rsidRPr="00EF1183">
        <w:rPr>
          <w:rFonts w:ascii="Times New Roman" w:eastAsia="Times New Roman" w:hAnsi="Times New Roman" w:cs="Times New Roman"/>
          <w:sz w:val="24"/>
          <w:szCs w:val="24"/>
        </w:rPr>
        <w:t xml:space="preserve">Приложение  </w:t>
      </w:r>
    </w:p>
    <w:p w:rsidR="00EF1183" w:rsidRPr="00EF1183" w:rsidRDefault="00EF1183" w:rsidP="00EF1183">
      <w:pPr>
        <w:spacing w:after="0" w:line="240" w:lineRule="auto"/>
        <w:ind w:firstLine="720"/>
        <w:jc w:val="right"/>
        <w:rPr>
          <w:rFonts w:ascii="Times New Roman" w:eastAsia="Times New Roman" w:hAnsi="Times New Roman" w:cs="Times New Roman"/>
          <w:sz w:val="24"/>
          <w:szCs w:val="24"/>
        </w:rPr>
      </w:pPr>
      <w:r w:rsidRPr="00EF1183">
        <w:rPr>
          <w:rFonts w:ascii="Times New Roman" w:eastAsia="Times New Roman" w:hAnsi="Times New Roman" w:cs="Times New Roman"/>
          <w:sz w:val="24"/>
          <w:szCs w:val="24"/>
        </w:rPr>
        <w:t xml:space="preserve"> к распоряжению </w:t>
      </w:r>
    </w:p>
    <w:p w:rsidR="00EF1183" w:rsidRPr="00EF1183" w:rsidRDefault="00EF1183" w:rsidP="00EF1183">
      <w:pPr>
        <w:spacing w:after="0" w:line="240" w:lineRule="auto"/>
        <w:ind w:firstLine="720"/>
        <w:jc w:val="right"/>
        <w:rPr>
          <w:rFonts w:ascii="Times New Roman" w:eastAsia="Times New Roman" w:hAnsi="Times New Roman" w:cs="Times New Roman"/>
          <w:sz w:val="24"/>
          <w:szCs w:val="24"/>
        </w:rPr>
      </w:pPr>
      <w:r w:rsidRPr="00EF1183">
        <w:rPr>
          <w:rFonts w:ascii="Times New Roman" w:eastAsia="Times New Roman" w:hAnsi="Times New Roman" w:cs="Times New Roman"/>
          <w:sz w:val="24"/>
          <w:szCs w:val="24"/>
        </w:rPr>
        <w:t xml:space="preserve">администрации города Алатыря </w:t>
      </w:r>
    </w:p>
    <w:p w:rsidR="00EF1183" w:rsidRPr="00EF1183" w:rsidRDefault="00EF1183" w:rsidP="00EF1183">
      <w:pPr>
        <w:spacing w:after="0" w:line="240" w:lineRule="auto"/>
        <w:ind w:firstLine="720"/>
        <w:jc w:val="center"/>
        <w:rPr>
          <w:rFonts w:ascii="Times New Roman" w:eastAsia="Times New Roman" w:hAnsi="Times New Roman" w:cs="Times New Roman"/>
          <w:sz w:val="24"/>
          <w:szCs w:val="24"/>
        </w:rPr>
      </w:pPr>
      <w:r w:rsidRPr="00EF1183">
        <w:rPr>
          <w:rFonts w:ascii="Times New Roman" w:eastAsia="Times New Roman" w:hAnsi="Times New Roman" w:cs="Times New Roman"/>
          <w:sz w:val="24"/>
          <w:szCs w:val="24"/>
        </w:rPr>
        <w:t xml:space="preserve">                                                      </w:t>
      </w:r>
      <w:r w:rsidR="00B30AFD">
        <w:rPr>
          <w:rFonts w:ascii="Times New Roman" w:eastAsia="Times New Roman" w:hAnsi="Times New Roman" w:cs="Times New Roman"/>
          <w:sz w:val="24"/>
          <w:szCs w:val="24"/>
        </w:rPr>
        <w:t xml:space="preserve">                               от «11»</w:t>
      </w:r>
      <w:r w:rsidRPr="00EF1183">
        <w:rPr>
          <w:rFonts w:ascii="Times New Roman" w:eastAsia="Times New Roman" w:hAnsi="Times New Roman" w:cs="Times New Roman"/>
          <w:sz w:val="24"/>
          <w:szCs w:val="24"/>
        </w:rPr>
        <w:t xml:space="preserve"> </w:t>
      </w:r>
      <w:proofErr w:type="gramStart"/>
      <w:r w:rsidR="00B30AFD">
        <w:rPr>
          <w:rFonts w:ascii="Times New Roman" w:eastAsia="Times New Roman" w:hAnsi="Times New Roman" w:cs="Times New Roman"/>
          <w:sz w:val="24"/>
          <w:szCs w:val="24"/>
        </w:rPr>
        <w:t>мая</w:t>
      </w:r>
      <w:r w:rsidRPr="00EF1183">
        <w:rPr>
          <w:rFonts w:ascii="Times New Roman" w:eastAsia="Times New Roman" w:hAnsi="Times New Roman" w:cs="Times New Roman"/>
          <w:sz w:val="24"/>
          <w:szCs w:val="24"/>
        </w:rPr>
        <w:t xml:space="preserve">  2022</w:t>
      </w:r>
      <w:proofErr w:type="gramEnd"/>
      <w:r w:rsidRPr="00EF1183">
        <w:rPr>
          <w:rFonts w:ascii="Times New Roman" w:eastAsia="Times New Roman" w:hAnsi="Times New Roman" w:cs="Times New Roman"/>
          <w:sz w:val="24"/>
          <w:szCs w:val="24"/>
        </w:rPr>
        <w:t xml:space="preserve"> г. № </w:t>
      </w:r>
      <w:r w:rsidR="00B30AFD">
        <w:rPr>
          <w:rFonts w:ascii="Times New Roman" w:eastAsia="Times New Roman" w:hAnsi="Times New Roman" w:cs="Times New Roman"/>
          <w:sz w:val="24"/>
          <w:szCs w:val="24"/>
        </w:rPr>
        <w:t>138</w:t>
      </w:r>
      <w:bookmarkStart w:id="0" w:name="_GoBack"/>
      <w:bookmarkEnd w:id="0"/>
    </w:p>
    <w:p w:rsidR="00EF1183" w:rsidRPr="00EF1183" w:rsidRDefault="00EF1183" w:rsidP="00EF1183">
      <w:pPr>
        <w:spacing w:after="0" w:line="240" w:lineRule="auto"/>
        <w:ind w:left="5760"/>
        <w:rPr>
          <w:rFonts w:ascii="Times New Roman" w:eastAsia="Times New Roman" w:hAnsi="Times New Roman" w:cs="Times New Roman"/>
          <w:sz w:val="24"/>
          <w:szCs w:val="20"/>
        </w:rPr>
      </w:pPr>
    </w:p>
    <w:p w:rsidR="00EF1183" w:rsidRPr="00EF1183" w:rsidRDefault="00EF1183" w:rsidP="00EF1183">
      <w:pPr>
        <w:spacing w:after="0" w:line="240" w:lineRule="auto"/>
        <w:jc w:val="center"/>
        <w:rPr>
          <w:rFonts w:ascii="Times New Roman" w:eastAsia="Times New Roman" w:hAnsi="Times New Roman" w:cs="Times New Roman"/>
          <w:b/>
          <w:bCs/>
          <w:sz w:val="24"/>
          <w:szCs w:val="20"/>
        </w:rPr>
      </w:pPr>
      <w:r w:rsidRPr="00EF1183">
        <w:rPr>
          <w:rFonts w:ascii="Times New Roman" w:eastAsia="Times New Roman" w:hAnsi="Times New Roman" w:cs="Times New Roman"/>
          <w:b/>
          <w:bCs/>
          <w:sz w:val="24"/>
          <w:szCs w:val="20"/>
        </w:rPr>
        <w:t> </w:t>
      </w:r>
    </w:p>
    <w:p w:rsidR="00EF1183" w:rsidRPr="00EF1183" w:rsidRDefault="00EF1183" w:rsidP="00EF1183">
      <w:pPr>
        <w:spacing w:after="0" w:line="240" w:lineRule="auto"/>
        <w:jc w:val="center"/>
        <w:rPr>
          <w:rFonts w:ascii="Times New Roman" w:eastAsia="Times New Roman" w:hAnsi="Times New Roman" w:cs="Times New Roman"/>
          <w:bCs/>
          <w:sz w:val="24"/>
          <w:szCs w:val="20"/>
        </w:rPr>
      </w:pPr>
      <w:r w:rsidRPr="00EF1183">
        <w:rPr>
          <w:rFonts w:ascii="Times New Roman" w:eastAsia="Times New Roman" w:hAnsi="Times New Roman" w:cs="Times New Roman"/>
          <w:b/>
          <w:bCs/>
          <w:sz w:val="24"/>
          <w:szCs w:val="20"/>
        </w:rPr>
        <w:t xml:space="preserve"> </w:t>
      </w:r>
      <w:r w:rsidRPr="00EF1183">
        <w:rPr>
          <w:rFonts w:ascii="Times New Roman" w:eastAsia="Times New Roman" w:hAnsi="Times New Roman" w:cs="Times New Roman"/>
          <w:bCs/>
          <w:sz w:val="24"/>
          <w:szCs w:val="20"/>
        </w:rPr>
        <w:t>Положение (регламент)</w:t>
      </w:r>
    </w:p>
    <w:p w:rsidR="00EF1183" w:rsidRDefault="00EF1183" w:rsidP="00EF1183">
      <w:pPr>
        <w:spacing w:after="0" w:line="240" w:lineRule="auto"/>
        <w:jc w:val="center"/>
        <w:rPr>
          <w:rFonts w:ascii="Times New Roman" w:eastAsia="Times New Roman" w:hAnsi="Times New Roman" w:cs="Times New Roman"/>
          <w:sz w:val="24"/>
          <w:szCs w:val="20"/>
        </w:rPr>
      </w:pPr>
      <w:r w:rsidRPr="00EF1183">
        <w:rPr>
          <w:rFonts w:ascii="Times New Roman" w:eastAsia="Times New Roman" w:hAnsi="Times New Roman" w:cs="Times New Roman"/>
          <w:sz w:val="24"/>
          <w:szCs w:val="20"/>
        </w:rPr>
        <w:t xml:space="preserve">о </w:t>
      </w:r>
      <w:r w:rsidRPr="00EF1183">
        <w:rPr>
          <w:rFonts w:ascii="Times New Roman" w:eastAsia="Times New Roman" w:hAnsi="Times New Roman" w:cs="Times New Roman"/>
          <w:sz w:val="24"/>
          <w:szCs w:val="24"/>
        </w:rPr>
        <w:t>контрактном управляющем в администрации города Алатыря Чувашской Республики</w:t>
      </w:r>
      <w:r w:rsidRPr="00EF1183">
        <w:rPr>
          <w:rFonts w:ascii="Times New Roman" w:eastAsia="Times New Roman" w:hAnsi="Times New Roman" w:cs="Times New Roman"/>
          <w:sz w:val="24"/>
          <w:szCs w:val="20"/>
        </w:rPr>
        <w:t xml:space="preserve"> </w:t>
      </w:r>
    </w:p>
    <w:p w:rsidR="00531BA4" w:rsidRDefault="00531BA4" w:rsidP="00EF1183">
      <w:pPr>
        <w:spacing w:after="0" w:line="240" w:lineRule="auto"/>
        <w:jc w:val="center"/>
        <w:rPr>
          <w:rFonts w:ascii="Times New Roman" w:eastAsia="Times New Roman" w:hAnsi="Times New Roman" w:cs="Times New Roman"/>
          <w:bCs/>
          <w:i/>
          <w:iCs/>
          <w:sz w:val="24"/>
          <w:szCs w:val="20"/>
        </w:rPr>
      </w:pP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1.1. Настоящее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города Алатыря Чувашской Республики (далее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1.2. Контрактный управляющий назначается Заказчиком в случае, если совокупный годовой объем закупок Заказчика не превышает сто миллионов рублей и у Заказчика отсутствует контрактная служба.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1.3. Контрактный управляющий назначается на должность приказом руководителя Заказчика, уполномоченного лица, исполняющего его обязанности, либо уполномоченного руководителем лица.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1.4. Контрактный управляющий должен иметь высшее образование или дополнительное профессиональное образование в сфере закупок.</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1.5. Контрактный управляющий в своей деятельности руководствуется Конституцией Российской Федерации, Федеральным законом о контрактной системе,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а также настоящим Положением.</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1.6. Контрактный управляющий осуществляет свою деятельность во взаимодействии с другими подразделениями (службами) Заказчика.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2. Функции и полномочия контрактного управляющего</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Контрактный управляющий осуществляет следующие функции и полномочия:</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2.1. При планировании закупок:</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разработка плана-графика, осуществление подготовки изменений в план-график;</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размещение в единой информационной системе в сфере закупок (далее - единая информационная система) плана-графика и внесенных в него изменений;</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организация общественного обсуждения закупок в случаях, предусмотренных статьей 20 Федерального закона о контрактной системе;</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разработка требований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предельных цен товаров, работ, услуг) и (или) нормативных затрат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 о контрактной системе;</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lastRenderedPageBreak/>
        <w:t>- организация в случае необходимости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2.2. При определении поставщиков (подрядчиков, исполнителей):</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обеспечение проведения закрытых конкурентных способов определения поставщиков (подрядчиков, исполнителей) в случаях, установленных частями 11 и 12 статьи 24 Федерального закона о контрактной системе,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осуществление подготовки и размещения в единой информационной системе извещений об осуществлении закупок, документации о закупках (в случае, если Федеральным законом о контрактной системе предусмотрена документация о закупке), проектов контрактов, подготовки и направления приглашений принять участие в определении поставщиков (подрядчиков, исполнителей):</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а) 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товаров, работ, услуг, максимального значения цены контракта;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б) осуществление описания объекта закупки;</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в) указание в извещении об осуществлении закупки информации, предусмотренной статьей 42 Федерального закона о контрактной системе, в том числе информации:</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о контрактной системе;</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о преимуществе в отношении участников закупок, установленном в соответствии со статьей 30 Федерального закона о контрактной системе (при необходимости);</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о преимуществах, предоставляемых в соответствии со статьями 28, 29 Федерального закона о контрактной системе;</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осуществление подготовки и размещения в единой информационной системе разъяснений положений извещения об осуществлении закупки, документации о закупке (в случае, если Федеральным законом о контрактной системе предусмотрена документация о закупке);</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осуществление подготовки и размещения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о контрактной системе предусмотрена документация о закупке);</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осуществление оформления и размещения в единой информационной системе протоколов определения поставщика (подрядчика, исполнителя);</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осуществление организационно-технического обеспечения деятельности комиссии по осуществлению закупок;</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осуществление привлечения экспертов, экспертных организаций в случаях, установленных статьей 41 Федерального закона о контрактной системе.</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2.3. При заключении контрактов:</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осуществление размещения проекта контракта (контракта) в единой информационной системе и на электронной площадке с использованием единой информационной системы;</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осуществление рассмотрения протокола разногласий при наличии разногласий по проекту контракта;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осуществление рассмотрения независимой гарантии, представленной в качестве обеспечения исполнения контракта;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lastRenderedPageBreak/>
        <w:t>- организация проверки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осуществление подготовки и направления в контрольный орган в сфере закупок предусмотренного частью 6 статьи 93 Федерального закона о контрактной системе обращения Заказчика о согласовании заключения контракта с единственным поставщиком (подрядчиком, исполнителем);</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осуществление подготовки и направления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 о контрактной системе;</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обеспечение хранения информации и документов в соответствии с частью 15 статьи 4 Федерального закона о контрактной системе;</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обеспечение заключения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направление информации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2.4. При исполнении, изменении, расторжении контракта: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осуществление рассмотрения независимой гарантии, представленной в качестве обеспечения гарантийного обязательства;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обеспечение исполнения условий контракта в части выплаты аванса (если контрактом предусмотрена выплата аванса);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обеспечение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а) обеспечение проведения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б) обеспечение подготовки решений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в) осуществление оформления документа о приемке поставленного товара, выполненной работы или оказанной услуги, результатов отдельного этапа исполнения контракта;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обеспечение исполнения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направление информации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взаимодействие с поставщиком (подрядчиком, исполнителем) при изменении, расторжении контракта в соответствии со статьей 95 Федерального закона о контрактной системе, применении мер ответственности в случае нарушения условий контракта, в том числе направление поставщику (подрядчику, исполнителю) требования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lastRenderedPageBreak/>
        <w:t>- направление в порядке, предусмотренном статьей 104 Федерального закона о контрактной системе, в контрольный орган в сфере закупок информации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обеспечение исполнения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 о контрактной системе;</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обеспечение одностороннего расторжения контракта в порядке, предусмотренном статьей 95 Федерального закона о контрактной системе.</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2.5. Иные функции и полномочия, предусмотренные Федеральным законом о контрактной системе, в том числе:</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осуществление подготовки и направления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составление и размещение в единой информационной системе отчета об объеме закупок у субъектов малого предпринимательства, социально ориентированных некоммерческих организаций;</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xml:space="preserve">-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о контрактной системе), если такие действия (бездействие) нарушают права и законные интересы участника закупки, а также осуществление подготовки материалов в рамках </w:t>
      </w:r>
      <w:proofErr w:type="spellStart"/>
      <w:r w:rsidRPr="00531BA4">
        <w:rPr>
          <w:rFonts w:ascii="Times New Roman" w:eastAsia="Times New Roman" w:hAnsi="Times New Roman" w:cs="Times New Roman"/>
          <w:bCs/>
          <w:iCs/>
          <w:sz w:val="24"/>
          <w:szCs w:val="20"/>
        </w:rPr>
        <w:t>претензионно</w:t>
      </w:r>
      <w:proofErr w:type="spellEnd"/>
      <w:r w:rsidRPr="00531BA4">
        <w:rPr>
          <w:rFonts w:ascii="Times New Roman" w:eastAsia="Times New Roman" w:hAnsi="Times New Roman" w:cs="Times New Roman"/>
          <w:bCs/>
          <w:iCs/>
          <w:sz w:val="24"/>
          <w:szCs w:val="20"/>
        </w:rPr>
        <w:t>-исковой работы;</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 при централизации закупок в соответствии со статьей 26 Федерального закона о контрактной системе осуществление предусмотренных Федеральным законом о контрактной системе и настоящим Положением полномочий, не переданных соответствующему уполномоченному органу (учреждению) на осуществление определения поставщиков (подрядчиков, исполнителей) для Заказчика.</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3. Ответственность контрактного управляющего</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r w:rsidRPr="00531BA4">
        <w:rPr>
          <w:rFonts w:ascii="Times New Roman" w:eastAsia="Times New Roman" w:hAnsi="Times New Roman" w:cs="Times New Roman"/>
          <w:bCs/>
          <w:iCs/>
          <w:sz w:val="24"/>
          <w:szCs w:val="20"/>
        </w:rPr>
        <w:t>3.1.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о контрактной системе, в контрольный орган в сфере закупок, если такие действия (бездействие) нарушают права и законные интересы участника закупки.</w:t>
      </w:r>
    </w:p>
    <w:p w:rsidR="00531BA4" w:rsidRPr="00531BA4" w:rsidRDefault="00531BA4" w:rsidP="00531BA4">
      <w:pPr>
        <w:spacing w:after="0" w:line="240" w:lineRule="auto"/>
        <w:jc w:val="both"/>
        <w:rPr>
          <w:rFonts w:ascii="Times New Roman" w:eastAsia="Times New Roman" w:hAnsi="Times New Roman" w:cs="Times New Roman"/>
          <w:bCs/>
          <w:iCs/>
          <w:sz w:val="24"/>
          <w:szCs w:val="20"/>
        </w:rPr>
      </w:pPr>
    </w:p>
    <w:p w:rsidR="00EF1183" w:rsidRPr="00EF1183" w:rsidRDefault="00EF1183" w:rsidP="00EF1183">
      <w:pPr>
        <w:spacing w:after="0" w:line="240" w:lineRule="auto"/>
        <w:ind w:firstLine="720"/>
        <w:jc w:val="center"/>
        <w:rPr>
          <w:rFonts w:ascii="Times New Roman" w:eastAsia="Times New Roman" w:hAnsi="Times New Roman" w:cs="Times New Roman"/>
          <w:sz w:val="24"/>
          <w:szCs w:val="24"/>
        </w:rPr>
      </w:pPr>
      <w:bookmarkStart w:id="1" w:name="sub_2001"/>
    </w:p>
    <w:bookmarkEnd w:id="1"/>
    <w:p w:rsidR="005F61EB" w:rsidRPr="002A5D06" w:rsidRDefault="005F61EB" w:rsidP="00BE71DB">
      <w:pPr>
        <w:spacing w:after="0"/>
        <w:ind w:right="488" w:firstLine="709"/>
        <w:jc w:val="right"/>
        <w:rPr>
          <w:bCs/>
          <w:sz w:val="24"/>
          <w:szCs w:val="24"/>
        </w:rPr>
      </w:pPr>
      <w:r w:rsidRPr="005F61EB">
        <w:rPr>
          <w:rFonts w:ascii="Times New Roman" w:hAnsi="Times New Roman" w:cs="Times New Roman"/>
          <w:sz w:val="24"/>
          <w:szCs w:val="24"/>
        </w:rPr>
        <w:t xml:space="preserve">                                                               </w:t>
      </w:r>
      <w:r w:rsidR="00BE71DB">
        <w:rPr>
          <w:rFonts w:ascii="Times New Roman" w:hAnsi="Times New Roman" w:cs="Times New Roman"/>
          <w:sz w:val="24"/>
          <w:szCs w:val="24"/>
        </w:rPr>
        <w:t xml:space="preserve">       </w:t>
      </w:r>
    </w:p>
    <w:p w:rsidR="005F61EB" w:rsidRPr="002A5D06" w:rsidRDefault="005F61EB" w:rsidP="005F61EB">
      <w:pPr>
        <w:pStyle w:val="a3"/>
        <w:rPr>
          <w:b/>
          <w:bCs w:val="0"/>
          <w:sz w:val="24"/>
          <w:szCs w:val="24"/>
        </w:rPr>
      </w:pPr>
      <w:r w:rsidRPr="002A5D06">
        <w:rPr>
          <w:b/>
          <w:bCs w:val="0"/>
          <w:sz w:val="24"/>
          <w:szCs w:val="24"/>
        </w:rPr>
        <w:t xml:space="preserve"> </w:t>
      </w:r>
    </w:p>
    <w:p w:rsidR="00E77CC2" w:rsidRDefault="00E77CC2"/>
    <w:sectPr w:rsidR="00E77CC2" w:rsidSect="000D54C2">
      <w:pgSz w:w="11906" w:h="16838"/>
      <w:pgMar w:top="426" w:right="707" w:bottom="1134" w:left="170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57DD6"/>
    <w:multiLevelType w:val="hybridMultilevel"/>
    <w:tmpl w:val="B82617A6"/>
    <w:lvl w:ilvl="0" w:tplc="71229822">
      <w:start w:val="1"/>
      <w:numFmt w:val="decimal"/>
      <w:lvlText w:val="%1."/>
      <w:lvlJc w:val="left"/>
      <w:pPr>
        <w:ind w:left="2415" w:hanging="9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45D4C0B"/>
    <w:multiLevelType w:val="hybridMultilevel"/>
    <w:tmpl w:val="2946A56A"/>
    <w:lvl w:ilvl="0" w:tplc="71229822">
      <w:start w:val="1"/>
      <w:numFmt w:val="decimal"/>
      <w:lvlText w:val="%1."/>
      <w:lvlJc w:val="left"/>
      <w:pPr>
        <w:ind w:left="169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91365B"/>
    <w:multiLevelType w:val="hybridMultilevel"/>
    <w:tmpl w:val="BBE844C8"/>
    <w:lvl w:ilvl="0" w:tplc="71229822">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5076E03"/>
    <w:multiLevelType w:val="hybridMultilevel"/>
    <w:tmpl w:val="75DC0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F61EB"/>
    <w:rsid w:val="00012A68"/>
    <w:rsid w:val="000A1204"/>
    <w:rsid w:val="000A4549"/>
    <w:rsid w:val="000A49D8"/>
    <w:rsid w:val="000D693C"/>
    <w:rsid w:val="0010372B"/>
    <w:rsid w:val="001233DC"/>
    <w:rsid w:val="001459E8"/>
    <w:rsid w:val="002A5D06"/>
    <w:rsid w:val="00314F46"/>
    <w:rsid w:val="003273C9"/>
    <w:rsid w:val="003D50A0"/>
    <w:rsid w:val="00425267"/>
    <w:rsid w:val="00454553"/>
    <w:rsid w:val="00477A91"/>
    <w:rsid w:val="004838A3"/>
    <w:rsid w:val="00502FFD"/>
    <w:rsid w:val="0052787D"/>
    <w:rsid w:val="00531BA4"/>
    <w:rsid w:val="005943CE"/>
    <w:rsid w:val="005C2074"/>
    <w:rsid w:val="005F61EB"/>
    <w:rsid w:val="00687676"/>
    <w:rsid w:val="006C6D5F"/>
    <w:rsid w:val="00722356"/>
    <w:rsid w:val="00756A13"/>
    <w:rsid w:val="00774450"/>
    <w:rsid w:val="007C0BA1"/>
    <w:rsid w:val="00816810"/>
    <w:rsid w:val="00895996"/>
    <w:rsid w:val="008F1736"/>
    <w:rsid w:val="009565F0"/>
    <w:rsid w:val="00973D2D"/>
    <w:rsid w:val="009C0F66"/>
    <w:rsid w:val="00A65ACA"/>
    <w:rsid w:val="00B30AFD"/>
    <w:rsid w:val="00BE71DB"/>
    <w:rsid w:val="00C80560"/>
    <w:rsid w:val="00CF0200"/>
    <w:rsid w:val="00D2531C"/>
    <w:rsid w:val="00DF4FC9"/>
    <w:rsid w:val="00E16865"/>
    <w:rsid w:val="00E750A4"/>
    <w:rsid w:val="00E77CC2"/>
    <w:rsid w:val="00EC6A72"/>
    <w:rsid w:val="00ED6178"/>
    <w:rsid w:val="00EF1183"/>
    <w:rsid w:val="00F5621D"/>
    <w:rsid w:val="00FF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8A2D76-467E-4476-9E9B-781398F7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3CE"/>
  </w:style>
  <w:style w:type="paragraph" w:styleId="1">
    <w:name w:val="heading 1"/>
    <w:basedOn w:val="a"/>
    <w:next w:val="a"/>
    <w:link w:val="10"/>
    <w:qFormat/>
    <w:rsid w:val="00BE71DB"/>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314F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F61EB"/>
    <w:pPr>
      <w:suppressAutoHyphens/>
      <w:overflowPunct w:val="0"/>
      <w:autoSpaceDE w:val="0"/>
      <w:spacing w:after="0" w:line="240" w:lineRule="auto"/>
      <w:ind w:firstLine="709"/>
      <w:jc w:val="both"/>
      <w:textAlignment w:val="baseline"/>
    </w:pPr>
    <w:rPr>
      <w:rFonts w:ascii="Times New Roman" w:eastAsia="Times New Roman" w:hAnsi="Times New Roman" w:cs="Times New Roman"/>
      <w:bCs/>
      <w:sz w:val="28"/>
      <w:szCs w:val="20"/>
      <w:lang w:eastAsia="ar-SA"/>
    </w:rPr>
  </w:style>
  <w:style w:type="character" w:customStyle="1" w:styleId="a4">
    <w:name w:val="Основной текст с отступом Знак"/>
    <w:basedOn w:val="a0"/>
    <w:link w:val="a3"/>
    <w:rsid w:val="005F61EB"/>
    <w:rPr>
      <w:rFonts w:ascii="Times New Roman" w:eastAsia="Times New Roman" w:hAnsi="Times New Roman" w:cs="Times New Roman"/>
      <w:bCs/>
      <w:sz w:val="28"/>
      <w:szCs w:val="20"/>
      <w:lang w:eastAsia="ar-SA"/>
    </w:rPr>
  </w:style>
  <w:style w:type="paragraph" w:styleId="a5">
    <w:name w:val="Balloon Text"/>
    <w:basedOn w:val="a"/>
    <w:link w:val="a6"/>
    <w:uiPriority w:val="99"/>
    <w:semiHidden/>
    <w:unhideWhenUsed/>
    <w:rsid w:val="005F61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61EB"/>
    <w:rPr>
      <w:rFonts w:ascii="Tahoma" w:hAnsi="Tahoma" w:cs="Tahoma"/>
      <w:sz w:val="16"/>
      <w:szCs w:val="16"/>
    </w:rPr>
  </w:style>
  <w:style w:type="character" w:styleId="a7">
    <w:name w:val="Hyperlink"/>
    <w:basedOn w:val="a0"/>
    <w:uiPriority w:val="99"/>
    <w:semiHidden/>
    <w:unhideWhenUsed/>
    <w:rsid w:val="00EC6A72"/>
    <w:rPr>
      <w:color w:val="0000FF"/>
      <w:u w:val="single"/>
    </w:rPr>
  </w:style>
  <w:style w:type="paragraph" w:styleId="a8">
    <w:name w:val="List Paragraph"/>
    <w:basedOn w:val="a"/>
    <w:uiPriority w:val="34"/>
    <w:qFormat/>
    <w:rsid w:val="00687676"/>
    <w:pPr>
      <w:ind w:left="720"/>
      <w:contextualSpacing/>
    </w:pPr>
  </w:style>
  <w:style w:type="character" w:customStyle="1" w:styleId="10">
    <w:name w:val="Заголовок 1 Знак"/>
    <w:basedOn w:val="a0"/>
    <w:link w:val="1"/>
    <w:rsid w:val="00BE71DB"/>
    <w:rPr>
      <w:rFonts w:ascii="Times New Roman" w:eastAsia="Times New Roman" w:hAnsi="Times New Roman" w:cs="Times New Roman"/>
      <w:b/>
      <w:sz w:val="24"/>
      <w:szCs w:val="24"/>
    </w:rPr>
  </w:style>
  <w:style w:type="paragraph" w:styleId="a9">
    <w:name w:val="caption"/>
    <w:basedOn w:val="a"/>
    <w:next w:val="a"/>
    <w:qFormat/>
    <w:rsid w:val="00BE71DB"/>
    <w:pPr>
      <w:framePr w:w="3930" w:h="1875" w:hSpace="180" w:wrap="around" w:vAnchor="text" w:hAnchor="page" w:x="1365" w:y="6"/>
      <w:spacing w:after="0" w:line="240" w:lineRule="auto"/>
      <w:ind w:firstLine="567"/>
      <w:jc w:val="center"/>
    </w:pPr>
    <w:rPr>
      <w:rFonts w:ascii="TimesET" w:eastAsia="Times New Roman" w:hAnsi="TimesET" w:cs="Times New Roman"/>
      <w:b/>
      <w:sz w:val="26"/>
      <w:szCs w:val="24"/>
    </w:rPr>
  </w:style>
  <w:style w:type="character" w:customStyle="1" w:styleId="20">
    <w:name w:val="Заголовок 2 Знак"/>
    <w:basedOn w:val="a0"/>
    <w:link w:val="2"/>
    <w:uiPriority w:val="9"/>
    <w:semiHidden/>
    <w:rsid w:val="00314F46"/>
    <w:rPr>
      <w:rFonts w:asciiTheme="majorHAnsi" w:eastAsiaTheme="majorEastAsia" w:hAnsiTheme="majorHAnsi" w:cstheme="majorBidi"/>
      <w:b/>
      <w:bCs/>
      <w:color w:val="4F81BD" w:themeColor="accent1"/>
      <w:sz w:val="26"/>
      <w:szCs w:val="26"/>
    </w:rPr>
  </w:style>
  <w:style w:type="paragraph" w:styleId="3">
    <w:name w:val="Body Text Indent 3"/>
    <w:basedOn w:val="a"/>
    <w:link w:val="30"/>
    <w:uiPriority w:val="99"/>
    <w:semiHidden/>
    <w:unhideWhenUsed/>
    <w:rsid w:val="00EF1183"/>
    <w:pPr>
      <w:spacing w:after="120"/>
      <w:ind w:left="283"/>
    </w:pPr>
    <w:rPr>
      <w:sz w:val="16"/>
      <w:szCs w:val="16"/>
    </w:rPr>
  </w:style>
  <w:style w:type="character" w:customStyle="1" w:styleId="30">
    <w:name w:val="Основной текст с отступом 3 Знак"/>
    <w:basedOn w:val="a0"/>
    <w:link w:val="3"/>
    <w:uiPriority w:val="99"/>
    <w:semiHidden/>
    <w:rsid w:val="00EF11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25BBA-8E7D-4FFC-B430-D946E593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2295</Words>
  <Characters>13085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galatr_economy3</dc:creator>
  <cp:keywords/>
  <dc:description/>
  <cp:lastModifiedBy>Сочнева Светлана Георгиевна</cp:lastModifiedBy>
  <cp:revision>32</cp:revision>
  <cp:lastPrinted>2022-05-11T07:40:00Z</cp:lastPrinted>
  <dcterms:created xsi:type="dcterms:W3CDTF">2021-03-18T07:40:00Z</dcterms:created>
  <dcterms:modified xsi:type="dcterms:W3CDTF">2022-06-07T06:30:00Z</dcterms:modified>
</cp:coreProperties>
</file>