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55" w:rsidRDefault="00281132" w:rsidP="00C7345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EC7253">
        <w:rPr>
          <w:rFonts w:ascii="Arial" w:hAnsi="Arial" w:cs="Arial"/>
          <w:b/>
          <w:bCs/>
          <w:sz w:val="36"/>
          <w:szCs w:val="36"/>
        </w:rPr>
        <w:t>Отчет финансового отдела администрации Порецкого района за 202</w:t>
      </w:r>
      <w:r w:rsidR="00F277C8">
        <w:rPr>
          <w:rFonts w:ascii="Arial" w:hAnsi="Arial" w:cs="Arial"/>
          <w:b/>
          <w:bCs/>
          <w:sz w:val="36"/>
          <w:szCs w:val="36"/>
        </w:rPr>
        <w:t>1</w:t>
      </w:r>
      <w:r w:rsidRPr="00EC7253">
        <w:rPr>
          <w:rFonts w:ascii="Arial" w:hAnsi="Arial" w:cs="Arial"/>
          <w:b/>
          <w:bCs/>
          <w:sz w:val="36"/>
          <w:szCs w:val="36"/>
        </w:rPr>
        <w:t xml:space="preserve"> год</w:t>
      </w:r>
    </w:p>
    <w:p w:rsidR="00642D68" w:rsidRPr="00EC7253" w:rsidRDefault="00642D68" w:rsidP="00C73455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CC0A50" w:rsidRDefault="00642D68" w:rsidP="00642D68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CC647F">
        <w:rPr>
          <w:rFonts w:ascii="Arial" w:hAnsi="Arial" w:cs="Arial"/>
          <w:b/>
          <w:bCs/>
          <w:sz w:val="24"/>
          <w:szCs w:val="24"/>
        </w:rPr>
        <w:t>Исполнение консолидированного бюджет</w:t>
      </w:r>
      <w:r>
        <w:rPr>
          <w:rFonts w:ascii="Arial" w:hAnsi="Arial" w:cs="Arial"/>
          <w:b/>
          <w:bCs/>
          <w:sz w:val="24"/>
          <w:szCs w:val="24"/>
        </w:rPr>
        <w:t>а</w:t>
      </w:r>
      <w:r w:rsidRPr="00CC647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Порецкого района</w:t>
      </w:r>
    </w:p>
    <w:p w:rsidR="00642D68" w:rsidRPr="00CC0A50" w:rsidRDefault="00642D68" w:rsidP="00CC0A50">
      <w:pPr>
        <w:spacing w:after="0" w:line="240" w:lineRule="auto"/>
        <w:ind w:left="709"/>
        <w:jc w:val="center"/>
        <w:rPr>
          <w:rFonts w:ascii="Arial" w:hAnsi="Arial" w:cs="Arial"/>
          <w:b/>
          <w:bCs/>
          <w:sz w:val="24"/>
          <w:szCs w:val="24"/>
        </w:rPr>
      </w:pPr>
      <w:r w:rsidRPr="00CC0A50">
        <w:rPr>
          <w:rFonts w:ascii="Arial" w:hAnsi="Arial" w:cs="Arial"/>
          <w:b/>
          <w:bCs/>
          <w:sz w:val="24"/>
          <w:szCs w:val="24"/>
        </w:rPr>
        <w:t xml:space="preserve"> за 202</w:t>
      </w:r>
      <w:r w:rsidR="00F277C8">
        <w:rPr>
          <w:rFonts w:ascii="Arial" w:hAnsi="Arial" w:cs="Arial"/>
          <w:b/>
          <w:bCs/>
          <w:sz w:val="24"/>
          <w:szCs w:val="24"/>
        </w:rPr>
        <w:t>1</w:t>
      </w:r>
      <w:r w:rsidRPr="00CC0A50">
        <w:rPr>
          <w:rFonts w:ascii="Arial" w:hAnsi="Arial" w:cs="Arial"/>
          <w:b/>
          <w:bCs/>
          <w:sz w:val="24"/>
          <w:szCs w:val="24"/>
        </w:rPr>
        <w:t xml:space="preserve"> год</w:t>
      </w:r>
    </w:p>
    <w:p w:rsidR="00C73455" w:rsidRDefault="00C73455" w:rsidP="00BF185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73455" w:rsidRDefault="00C73455" w:rsidP="00C73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C647F">
        <w:rPr>
          <w:rFonts w:ascii="Arial" w:hAnsi="Arial" w:cs="Arial"/>
          <w:bCs/>
          <w:sz w:val="24"/>
          <w:szCs w:val="24"/>
        </w:rPr>
        <w:t xml:space="preserve">Консолидированный бюджет </w:t>
      </w:r>
      <w:r w:rsidR="00281132">
        <w:rPr>
          <w:rFonts w:ascii="Arial" w:hAnsi="Arial" w:cs="Arial"/>
          <w:bCs/>
          <w:sz w:val="24"/>
          <w:szCs w:val="24"/>
        </w:rPr>
        <w:t>Порецкого района</w:t>
      </w:r>
      <w:r>
        <w:rPr>
          <w:rFonts w:ascii="Arial" w:hAnsi="Arial" w:cs="Arial"/>
          <w:sz w:val="24"/>
          <w:szCs w:val="24"/>
        </w:rPr>
        <w:t xml:space="preserve"> за 20</w:t>
      </w:r>
      <w:r w:rsidR="00281132">
        <w:rPr>
          <w:rFonts w:ascii="Arial" w:hAnsi="Arial" w:cs="Arial"/>
          <w:sz w:val="24"/>
          <w:szCs w:val="24"/>
        </w:rPr>
        <w:t>2</w:t>
      </w:r>
      <w:r w:rsidR="00F277C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 исполнен в целом по доходам в объеме </w:t>
      </w:r>
      <w:r w:rsidR="00F277C8">
        <w:rPr>
          <w:rFonts w:ascii="Arial" w:hAnsi="Arial" w:cs="Arial"/>
          <w:sz w:val="24"/>
          <w:szCs w:val="24"/>
        </w:rPr>
        <w:t>450 987,8</w:t>
      </w:r>
      <w:r w:rsidR="00281132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рублей, или на </w:t>
      </w:r>
      <w:r w:rsidRPr="00385F96">
        <w:rPr>
          <w:rFonts w:ascii="Arial" w:hAnsi="Arial" w:cs="Arial"/>
          <w:sz w:val="24"/>
          <w:szCs w:val="24"/>
        </w:rPr>
        <w:t>10</w:t>
      </w:r>
      <w:r w:rsidR="00281132" w:rsidRPr="00385F96">
        <w:rPr>
          <w:rFonts w:ascii="Arial" w:hAnsi="Arial" w:cs="Arial"/>
          <w:sz w:val="24"/>
          <w:szCs w:val="24"/>
        </w:rPr>
        <w:t>0</w:t>
      </w:r>
      <w:r w:rsidRPr="00385F96">
        <w:rPr>
          <w:rFonts w:ascii="Arial" w:hAnsi="Arial" w:cs="Arial"/>
          <w:sz w:val="24"/>
          <w:szCs w:val="24"/>
        </w:rPr>
        <w:t>,</w:t>
      </w:r>
      <w:r w:rsidR="00F277C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% к годовым плановым назначениям (</w:t>
      </w:r>
      <w:r w:rsidR="00F277C8">
        <w:rPr>
          <w:rFonts w:ascii="Arial" w:hAnsi="Arial" w:cs="Arial"/>
          <w:sz w:val="24"/>
          <w:szCs w:val="24"/>
        </w:rPr>
        <w:t>98,3</w:t>
      </w:r>
      <w:r>
        <w:rPr>
          <w:rFonts w:ascii="Arial" w:hAnsi="Arial" w:cs="Arial"/>
          <w:sz w:val="24"/>
          <w:szCs w:val="24"/>
        </w:rPr>
        <w:t>% к уровню 20</w:t>
      </w:r>
      <w:r w:rsidR="00F277C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года).</w:t>
      </w:r>
    </w:p>
    <w:p w:rsidR="00C73455" w:rsidRDefault="00C73455" w:rsidP="00C73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Собственные (налоговые и неналоговые) доходы консолидированного бюджета </w:t>
      </w:r>
      <w:r w:rsidR="00281132">
        <w:rPr>
          <w:rFonts w:ascii="Arial" w:hAnsi="Arial" w:cs="Arial"/>
          <w:sz w:val="24"/>
          <w:szCs w:val="24"/>
        </w:rPr>
        <w:t>Порецкого района</w:t>
      </w:r>
      <w:r>
        <w:rPr>
          <w:rFonts w:ascii="Arial" w:hAnsi="Arial" w:cs="Arial"/>
          <w:sz w:val="24"/>
          <w:szCs w:val="24"/>
        </w:rPr>
        <w:t xml:space="preserve"> исполнены в сумме </w:t>
      </w:r>
      <w:r w:rsidR="00F277C8">
        <w:rPr>
          <w:rFonts w:ascii="Arial" w:hAnsi="Arial" w:cs="Arial"/>
          <w:sz w:val="24"/>
          <w:szCs w:val="24"/>
        </w:rPr>
        <w:t>113 815,7</w:t>
      </w:r>
      <w:r>
        <w:rPr>
          <w:rFonts w:ascii="Arial" w:hAnsi="Arial" w:cs="Arial"/>
          <w:sz w:val="24"/>
          <w:szCs w:val="24"/>
        </w:rPr>
        <w:t xml:space="preserve"> </w:t>
      </w:r>
      <w:r w:rsidR="00281132">
        <w:rPr>
          <w:rFonts w:ascii="Arial" w:hAnsi="Arial" w:cs="Arial"/>
          <w:sz w:val="24"/>
          <w:szCs w:val="24"/>
        </w:rPr>
        <w:t xml:space="preserve">тыс. рублей, </w:t>
      </w:r>
      <w:r w:rsidR="00281132" w:rsidRPr="005C372A">
        <w:rPr>
          <w:rFonts w:ascii="Arial" w:hAnsi="Arial" w:cs="Arial"/>
          <w:sz w:val="24"/>
          <w:szCs w:val="24"/>
        </w:rPr>
        <w:t>106,</w:t>
      </w:r>
      <w:r w:rsidR="005C372A" w:rsidRPr="005C372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% к годовым плановым назначениям (</w:t>
      </w:r>
      <w:r w:rsidR="00F277C8">
        <w:rPr>
          <w:rFonts w:ascii="Arial" w:hAnsi="Arial" w:cs="Arial"/>
          <w:sz w:val="24"/>
          <w:szCs w:val="24"/>
        </w:rPr>
        <w:t>113,5</w:t>
      </w:r>
      <w:r w:rsidRPr="00B84717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к 20</w:t>
      </w:r>
      <w:r w:rsidR="00F277C8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году).</w:t>
      </w:r>
    </w:p>
    <w:p w:rsidR="00C73455" w:rsidRPr="00885476" w:rsidRDefault="00C73455" w:rsidP="00C73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217A8">
        <w:rPr>
          <w:rFonts w:ascii="Arial" w:hAnsi="Arial" w:cs="Arial"/>
          <w:sz w:val="24"/>
          <w:szCs w:val="24"/>
        </w:rPr>
        <w:t xml:space="preserve">В общем объеме собственных доходов консолидированного бюджета </w:t>
      </w:r>
      <w:r w:rsidR="00281132" w:rsidRPr="008217A8">
        <w:rPr>
          <w:rFonts w:ascii="Arial" w:hAnsi="Arial" w:cs="Arial"/>
          <w:sz w:val="24"/>
          <w:szCs w:val="24"/>
        </w:rPr>
        <w:t>Порецкого района</w:t>
      </w:r>
      <w:r w:rsidRPr="008217A8">
        <w:rPr>
          <w:rFonts w:ascii="Arial" w:hAnsi="Arial" w:cs="Arial"/>
          <w:sz w:val="24"/>
          <w:szCs w:val="24"/>
        </w:rPr>
        <w:t xml:space="preserve"> </w:t>
      </w:r>
      <w:r w:rsidR="00F277C8">
        <w:rPr>
          <w:rFonts w:ascii="Arial" w:hAnsi="Arial" w:cs="Arial"/>
          <w:sz w:val="24"/>
          <w:szCs w:val="24"/>
        </w:rPr>
        <w:t>83,4</w:t>
      </w:r>
      <w:r w:rsidRPr="00B84717">
        <w:rPr>
          <w:rFonts w:ascii="Arial" w:hAnsi="Arial" w:cs="Arial"/>
          <w:sz w:val="24"/>
          <w:szCs w:val="24"/>
        </w:rPr>
        <w:t xml:space="preserve">%, или </w:t>
      </w:r>
      <w:bookmarkStart w:id="0" w:name="_GoBack"/>
      <w:bookmarkEnd w:id="0"/>
      <w:r w:rsidR="00F277C8">
        <w:rPr>
          <w:rFonts w:ascii="Arial" w:hAnsi="Arial" w:cs="Arial"/>
          <w:sz w:val="24"/>
          <w:szCs w:val="24"/>
        </w:rPr>
        <w:t>94 974,7</w:t>
      </w:r>
      <w:r w:rsidRPr="00B84717">
        <w:rPr>
          <w:rFonts w:ascii="Arial" w:hAnsi="Arial" w:cs="Arial"/>
          <w:sz w:val="24"/>
          <w:szCs w:val="24"/>
        </w:rPr>
        <w:t xml:space="preserve"> </w:t>
      </w:r>
      <w:r w:rsidR="00281132" w:rsidRPr="00B84717">
        <w:rPr>
          <w:rFonts w:ascii="Arial" w:hAnsi="Arial" w:cs="Arial"/>
          <w:sz w:val="24"/>
          <w:szCs w:val="24"/>
        </w:rPr>
        <w:t>тыс</w:t>
      </w:r>
      <w:r w:rsidRPr="00B84717">
        <w:rPr>
          <w:rFonts w:ascii="Arial" w:hAnsi="Arial" w:cs="Arial"/>
          <w:sz w:val="24"/>
          <w:szCs w:val="24"/>
        </w:rPr>
        <w:t xml:space="preserve">. рублей приходится на налоговые доходы, соответственно </w:t>
      </w:r>
      <w:r w:rsidR="00F277C8">
        <w:rPr>
          <w:rFonts w:ascii="Arial" w:hAnsi="Arial" w:cs="Arial"/>
          <w:sz w:val="24"/>
          <w:szCs w:val="24"/>
        </w:rPr>
        <w:t>16,6</w:t>
      </w:r>
      <w:r w:rsidRPr="00106A22">
        <w:rPr>
          <w:rFonts w:ascii="Arial" w:hAnsi="Arial" w:cs="Arial"/>
          <w:sz w:val="24"/>
          <w:szCs w:val="24"/>
        </w:rPr>
        <w:t xml:space="preserve">%, или </w:t>
      </w:r>
      <w:r w:rsidR="00F277C8">
        <w:rPr>
          <w:rFonts w:ascii="Arial" w:hAnsi="Arial" w:cs="Arial"/>
          <w:sz w:val="24"/>
          <w:szCs w:val="24"/>
        </w:rPr>
        <w:t>18 841,0</w:t>
      </w:r>
      <w:r w:rsidRPr="00106A22">
        <w:rPr>
          <w:rFonts w:ascii="Arial" w:hAnsi="Arial" w:cs="Arial"/>
          <w:sz w:val="24"/>
          <w:szCs w:val="24"/>
        </w:rPr>
        <w:t xml:space="preserve"> </w:t>
      </w:r>
      <w:r w:rsidR="00281132" w:rsidRPr="00106A22">
        <w:rPr>
          <w:rFonts w:ascii="Arial" w:hAnsi="Arial" w:cs="Arial"/>
          <w:sz w:val="24"/>
          <w:szCs w:val="24"/>
        </w:rPr>
        <w:t>тыс</w:t>
      </w:r>
      <w:r w:rsidRPr="00106A22">
        <w:rPr>
          <w:rFonts w:ascii="Arial" w:hAnsi="Arial" w:cs="Arial"/>
          <w:sz w:val="24"/>
          <w:szCs w:val="24"/>
        </w:rPr>
        <w:t>. рублей – на неналоговые доходы.</w:t>
      </w:r>
    </w:p>
    <w:p w:rsidR="00023D8E" w:rsidRDefault="00023D8E" w:rsidP="00C73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3D8E">
        <w:rPr>
          <w:rFonts w:ascii="Arial" w:hAnsi="Arial" w:cs="Arial"/>
          <w:sz w:val="24"/>
          <w:szCs w:val="24"/>
        </w:rPr>
        <w:t xml:space="preserve">Из числа налоговых доходов наибольший удельный </w:t>
      </w:r>
      <w:r>
        <w:rPr>
          <w:rFonts w:ascii="Arial" w:hAnsi="Arial" w:cs="Arial"/>
          <w:sz w:val="24"/>
          <w:szCs w:val="24"/>
        </w:rPr>
        <w:t xml:space="preserve">вес занимают налог на доходы физических лиц – </w:t>
      </w:r>
      <w:r w:rsidR="00F277C8">
        <w:rPr>
          <w:rFonts w:ascii="Arial" w:hAnsi="Arial" w:cs="Arial"/>
          <w:sz w:val="24"/>
          <w:szCs w:val="24"/>
        </w:rPr>
        <w:t>51 831,8</w:t>
      </w:r>
      <w:r>
        <w:rPr>
          <w:rFonts w:ascii="Arial" w:hAnsi="Arial" w:cs="Arial"/>
          <w:sz w:val="24"/>
          <w:szCs w:val="24"/>
        </w:rPr>
        <w:t xml:space="preserve"> тыс. рублей</w:t>
      </w:r>
      <w:r w:rsidR="002773D8">
        <w:rPr>
          <w:rFonts w:ascii="Arial" w:hAnsi="Arial" w:cs="Arial"/>
          <w:sz w:val="24"/>
          <w:szCs w:val="24"/>
        </w:rPr>
        <w:t xml:space="preserve">, </w:t>
      </w:r>
      <w:r w:rsidR="00BC5740">
        <w:rPr>
          <w:rFonts w:ascii="Arial" w:hAnsi="Arial" w:cs="Arial"/>
          <w:sz w:val="24"/>
          <w:szCs w:val="24"/>
        </w:rPr>
        <w:t xml:space="preserve">налог на добычу общераспространенных полезных ископаемых – </w:t>
      </w:r>
      <w:r w:rsidR="00F277C8">
        <w:rPr>
          <w:rFonts w:ascii="Arial" w:hAnsi="Arial" w:cs="Arial"/>
          <w:sz w:val="24"/>
          <w:szCs w:val="24"/>
        </w:rPr>
        <w:t>21 589,7</w:t>
      </w:r>
      <w:r w:rsidR="00BC5740">
        <w:rPr>
          <w:rFonts w:ascii="Arial" w:hAnsi="Arial" w:cs="Arial"/>
          <w:sz w:val="24"/>
          <w:szCs w:val="24"/>
        </w:rPr>
        <w:t xml:space="preserve"> тыс. рублей, </w:t>
      </w:r>
      <w:r w:rsidR="002773D8">
        <w:rPr>
          <w:rFonts w:ascii="Arial" w:hAnsi="Arial" w:cs="Arial"/>
          <w:sz w:val="24"/>
          <w:szCs w:val="24"/>
        </w:rPr>
        <w:t xml:space="preserve">акцизы – </w:t>
      </w:r>
      <w:r w:rsidR="00F277C8">
        <w:rPr>
          <w:rFonts w:ascii="Arial" w:hAnsi="Arial" w:cs="Arial"/>
          <w:sz w:val="24"/>
          <w:szCs w:val="24"/>
        </w:rPr>
        <w:t>6 503,0</w:t>
      </w:r>
      <w:r w:rsidR="002773D8">
        <w:rPr>
          <w:rFonts w:ascii="Arial" w:hAnsi="Arial" w:cs="Arial"/>
          <w:sz w:val="24"/>
          <w:szCs w:val="24"/>
        </w:rPr>
        <w:t xml:space="preserve"> тыс. рублей</w:t>
      </w:r>
      <w:r>
        <w:rPr>
          <w:rFonts w:ascii="Arial" w:hAnsi="Arial" w:cs="Arial"/>
          <w:sz w:val="24"/>
          <w:szCs w:val="24"/>
        </w:rPr>
        <w:t>.</w:t>
      </w:r>
    </w:p>
    <w:p w:rsidR="00023D8E" w:rsidRPr="00023D8E" w:rsidRDefault="00023D8E" w:rsidP="00C73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отчетный период обеспечено поступление доходов от использования имущества, находящегося в муниципальной собственности в сумме – </w:t>
      </w:r>
      <w:r w:rsidR="00F277C8">
        <w:rPr>
          <w:rFonts w:ascii="Arial" w:hAnsi="Arial" w:cs="Arial"/>
          <w:sz w:val="24"/>
          <w:szCs w:val="24"/>
        </w:rPr>
        <w:t>9 384,7</w:t>
      </w:r>
      <w:r>
        <w:rPr>
          <w:rFonts w:ascii="Arial" w:hAnsi="Arial" w:cs="Arial"/>
          <w:sz w:val="24"/>
          <w:szCs w:val="24"/>
        </w:rPr>
        <w:t xml:space="preserve"> тыс. рублей (10</w:t>
      </w:r>
      <w:r w:rsidR="00F277C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,8% к плановым назначениям), доходов от реализации имущества в сумме </w:t>
      </w:r>
      <w:r w:rsidR="00F277C8">
        <w:rPr>
          <w:rFonts w:ascii="Arial" w:hAnsi="Arial" w:cs="Arial"/>
          <w:sz w:val="24"/>
          <w:szCs w:val="24"/>
        </w:rPr>
        <w:t>306,8</w:t>
      </w:r>
      <w:r w:rsidR="00756C4E">
        <w:rPr>
          <w:rFonts w:ascii="Arial" w:hAnsi="Arial" w:cs="Arial"/>
          <w:sz w:val="24"/>
          <w:szCs w:val="24"/>
        </w:rPr>
        <w:t xml:space="preserve"> (11</w:t>
      </w:r>
      <w:r w:rsidR="00F277C8">
        <w:rPr>
          <w:rFonts w:ascii="Arial" w:hAnsi="Arial" w:cs="Arial"/>
          <w:sz w:val="24"/>
          <w:szCs w:val="24"/>
        </w:rPr>
        <w:t>5</w:t>
      </w:r>
      <w:r w:rsidR="00756C4E">
        <w:rPr>
          <w:rFonts w:ascii="Arial" w:hAnsi="Arial" w:cs="Arial"/>
          <w:sz w:val="24"/>
          <w:szCs w:val="24"/>
        </w:rPr>
        <w:t>,</w:t>
      </w:r>
      <w:r w:rsidR="00F277C8">
        <w:rPr>
          <w:rFonts w:ascii="Arial" w:hAnsi="Arial" w:cs="Arial"/>
          <w:sz w:val="24"/>
          <w:szCs w:val="24"/>
        </w:rPr>
        <w:t>8</w:t>
      </w:r>
      <w:r w:rsidR="00756C4E">
        <w:rPr>
          <w:rFonts w:ascii="Arial" w:hAnsi="Arial" w:cs="Arial"/>
          <w:sz w:val="24"/>
          <w:szCs w:val="24"/>
        </w:rPr>
        <w:t xml:space="preserve"> к плановым назначениям).</w:t>
      </w:r>
    </w:p>
    <w:p w:rsidR="00C73455" w:rsidRPr="00106A22" w:rsidRDefault="00281132" w:rsidP="00C73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A22">
        <w:rPr>
          <w:rFonts w:ascii="Arial" w:hAnsi="Arial" w:cs="Arial"/>
          <w:sz w:val="24"/>
          <w:szCs w:val="24"/>
        </w:rPr>
        <w:t>Б</w:t>
      </w:r>
      <w:r w:rsidR="00C73455" w:rsidRPr="00106A22">
        <w:rPr>
          <w:rFonts w:ascii="Arial" w:hAnsi="Arial" w:cs="Arial"/>
          <w:sz w:val="24"/>
          <w:szCs w:val="24"/>
        </w:rPr>
        <w:t xml:space="preserve">юджет </w:t>
      </w:r>
      <w:r w:rsidRPr="00106A22">
        <w:rPr>
          <w:rFonts w:ascii="Arial" w:hAnsi="Arial" w:cs="Arial"/>
          <w:sz w:val="24"/>
          <w:szCs w:val="24"/>
        </w:rPr>
        <w:t>Порецкого района</w:t>
      </w:r>
      <w:r w:rsidR="00C73455" w:rsidRPr="00106A22">
        <w:rPr>
          <w:rFonts w:ascii="Arial" w:hAnsi="Arial" w:cs="Arial"/>
          <w:sz w:val="24"/>
          <w:szCs w:val="24"/>
        </w:rPr>
        <w:t xml:space="preserve"> за </w:t>
      </w:r>
      <w:r w:rsidRPr="00106A22">
        <w:rPr>
          <w:rFonts w:ascii="Arial" w:hAnsi="Arial" w:cs="Arial"/>
          <w:sz w:val="24"/>
          <w:szCs w:val="24"/>
        </w:rPr>
        <w:t>202</w:t>
      </w:r>
      <w:r w:rsidR="00F277C8">
        <w:rPr>
          <w:rFonts w:ascii="Arial" w:hAnsi="Arial" w:cs="Arial"/>
          <w:sz w:val="24"/>
          <w:szCs w:val="24"/>
        </w:rPr>
        <w:t>1</w:t>
      </w:r>
      <w:r w:rsidR="00C73455" w:rsidRPr="00106A22">
        <w:rPr>
          <w:rFonts w:ascii="Arial" w:hAnsi="Arial" w:cs="Arial"/>
          <w:sz w:val="24"/>
          <w:szCs w:val="24"/>
        </w:rPr>
        <w:t xml:space="preserve"> год исполнен в целом по доходам в объеме </w:t>
      </w:r>
      <w:r w:rsidR="00F277C8">
        <w:rPr>
          <w:rFonts w:ascii="Arial" w:hAnsi="Arial" w:cs="Arial"/>
          <w:sz w:val="24"/>
          <w:szCs w:val="24"/>
        </w:rPr>
        <w:t>429 649,0</w:t>
      </w:r>
      <w:r w:rsidR="00C73455" w:rsidRPr="00106A22">
        <w:rPr>
          <w:rFonts w:ascii="Arial" w:hAnsi="Arial" w:cs="Arial"/>
          <w:sz w:val="24"/>
          <w:szCs w:val="24"/>
        </w:rPr>
        <w:t xml:space="preserve"> </w:t>
      </w:r>
      <w:r w:rsidR="00F277C8">
        <w:rPr>
          <w:rFonts w:ascii="Arial" w:hAnsi="Arial" w:cs="Arial"/>
          <w:sz w:val="24"/>
          <w:szCs w:val="24"/>
        </w:rPr>
        <w:t>тыс</w:t>
      </w:r>
      <w:r w:rsidR="00C73455" w:rsidRPr="00106A22">
        <w:rPr>
          <w:rFonts w:ascii="Arial" w:hAnsi="Arial" w:cs="Arial"/>
          <w:sz w:val="24"/>
          <w:szCs w:val="24"/>
        </w:rPr>
        <w:t xml:space="preserve">. рублей, или на </w:t>
      </w:r>
      <w:r w:rsidR="00382BF6">
        <w:rPr>
          <w:rFonts w:ascii="Arial" w:hAnsi="Arial" w:cs="Arial"/>
          <w:sz w:val="24"/>
          <w:szCs w:val="24"/>
        </w:rPr>
        <w:t>98,9</w:t>
      </w:r>
      <w:r w:rsidR="00C73455" w:rsidRPr="00106A22">
        <w:rPr>
          <w:rFonts w:ascii="Arial" w:hAnsi="Arial" w:cs="Arial"/>
          <w:sz w:val="24"/>
          <w:szCs w:val="24"/>
        </w:rPr>
        <w:t xml:space="preserve">% </w:t>
      </w:r>
      <w:r w:rsidR="00106A22" w:rsidRPr="00106A22">
        <w:rPr>
          <w:rFonts w:ascii="Arial" w:hAnsi="Arial" w:cs="Arial"/>
          <w:sz w:val="24"/>
          <w:szCs w:val="24"/>
        </w:rPr>
        <w:t>к годовым плановым назначениям.</w:t>
      </w:r>
    </w:p>
    <w:p w:rsidR="00073693" w:rsidRDefault="00C73455" w:rsidP="00756C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06A22">
        <w:rPr>
          <w:rFonts w:ascii="Arial" w:hAnsi="Arial" w:cs="Arial"/>
          <w:sz w:val="24"/>
          <w:szCs w:val="24"/>
        </w:rPr>
        <w:t>Общий объем безвозмездных поступлений в 20</w:t>
      </w:r>
      <w:r w:rsidR="00BC169E" w:rsidRPr="00106A22">
        <w:rPr>
          <w:rFonts w:ascii="Arial" w:hAnsi="Arial" w:cs="Arial"/>
          <w:sz w:val="24"/>
          <w:szCs w:val="24"/>
        </w:rPr>
        <w:t>2</w:t>
      </w:r>
      <w:r w:rsidR="00382BF6">
        <w:rPr>
          <w:rFonts w:ascii="Arial" w:hAnsi="Arial" w:cs="Arial"/>
          <w:sz w:val="24"/>
          <w:szCs w:val="24"/>
        </w:rPr>
        <w:t>1</w:t>
      </w:r>
      <w:r w:rsidRPr="00106A22">
        <w:rPr>
          <w:rFonts w:ascii="Arial" w:hAnsi="Arial" w:cs="Arial"/>
          <w:sz w:val="24"/>
          <w:szCs w:val="24"/>
        </w:rPr>
        <w:t xml:space="preserve"> году составил </w:t>
      </w:r>
      <w:r w:rsidR="00382BF6">
        <w:rPr>
          <w:rFonts w:ascii="Arial" w:hAnsi="Arial" w:cs="Arial"/>
          <w:sz w:val="24"/>
          <w:szCs w:val="24"/>
        </w:rPr>
        <w:t>335 736,5</w:t>
      </w:r>
      <w:r>
        <w:rPr>
          <w:rFonts w:ascii="Arial" w:hAnsi="Arial" w:cs="Arial"/>
          <w:sz w:val="24"/>
          <w:szCs w:val="24"/>
        </w:rPr>
        <w:t xml:space="preserve"> </w:t>
      </w:r>
      <w:r w:rsidR="00BC169E">
        <w:rPr>
          <w:rFonts w:ascii="Arial" w:hAnsi="Arial" w:cs="Arial"/>
          <w:sz w:val="24"/>
          <w:szCs w:val="24"/>
        </w:rPr>
        <w:t>тыс</w:t>
      </w:r>
      <w:r>
        <w:rPr>
          <w:rFonts w:ascii="Arial" w:hAnsi="Arial" w:cs="Arial"/>
          <w:sz w:val="24"/>
          <w:szCs w:val="24"/>
        </w:rPr>
        <w:t xml:space="preserve">. рублей, что </w:t>
      </w:r>
      <w:r w:rsidR="00382BF6">
        <w:rPr>
          <w:rFonts w:ascii="Arial" w:hAnsi="Arial" w:cs="Arial"/>
          <w:sz w:val="24"/>
          <w:szCs w:val="24"/>
        </w:rPr>
        <w:t>меньше</w:t>
      </w:r>
      <w:r>
        <w:rPr>
          <w:rFonts w:ascii="Arial" w:hAnsi="Arial" w:cs="Arial"/>
          <w:sz w:val="24"/>
          <w:szCs w:val="24"/>
        </w:rPr>
        <w:t xml:space="preserve"> уровня 20</w:t>
      </w:r>
      <w:r w:rsidR="00382BF6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года на </w:t>
      </w:r>
      <w:r w:rsidR="00382BF6">
        <w:rPr>
          <w:rFonts w:ascii="Arial" w:hAnsi="Arial" w:cs="Arial"/>
          <w:sz w:val="24"/>
          <w:szCs w:val="24"/>
        </w:rPr>
        <w:t>13 801,9</w:t>
      </w:r>
      <w:r>
        <w:rPr>
          <w:rFonts w:ascii="Arial" w:hAnsi="Arial" w:cs="Arial"/>
          <w:sz w:val="24"/>
          <w:szCs w:val="24"/>
        </w:rPr>
        <w:t xml:space="preserve"> </w:t>
      </w:r>
      <w:r w:rsidR="00BC169E">
        <w:rPr>
          <w:rFonts w:ascii="Arial" w:hAnsi="Arial" w:cs="Arial"/>
          <w:sz w:val="24"/>
          <w:szCs w:val="24"/>
        </w:rPr>
        <w:t>тыс</w:t>
      </w:r>
      <w:r>
        <w:rPr>
          <w:rFonts w:ascii="Arial" w:hAnsi="Arial" w:cs="Arial"/>
          <w:sz w:val="24"/>
          <w:szCs w:val="24"/>
        </w:rPr>
        <w:t xml:space="preserve">. рублей, или на </w:t>
      </w:r>
      <w:r w:rsidR="00382BF6">
        <w:rPr>
          <w:rFonts w:ascii="Arial" w:hAnsi="Arial" w:cs="Arial"/>
          <w:sz w:val="24"/>
          <w:szCs w:val="24"/>
        </w:rPr>
        <w:t>3,1</w:t>
      </w:r>
      <w:r w:rsidRPr="003445C0">
        <w:rPr>
          <w:rFonts w:ascii="Arial" w:hAnsi="Arial" w:cs="Arial"/>
          <w:sz w:val="24"/>
          <w:szCs w:val="24"/>
        </w:rPr>
        <w:t>%.</w:t>
      </w:r>
    </w:p>
    <w:p w:rsidR="00DC108F" w:rsidRDefault="00DC108F" w:rsidP="00756C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C108F" w:rsidRPr="00DC108F" w:rsidRDefault="002B517F" w:rsidP="00756C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108F">
        <w:rPr>
          <w:rFonts w:ascii="Arial" w:hAnsi="Arial" w:cs="Arial"/>
          <w:sz w:val="24"/>
          <w:szCs w:val="24"/>
        </w:rPr>
        <w:object w:dxaOrig="7216" w:dyaOrig="54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pt;height:231.5pt" o:ole="">
            <v:imagedata r:id="rId5" o:title=""/>
          </v:shape>
          <o:OLEObject Type="Embed" ProgID="PowerPoint.Slide.12" ShapeID="_x0000_i1025" DrawAspect="Content" ObjectID="_1719817909" r:id="rId6"/>
        </w:object>
      </w:r>
    </w:p>
    <w:p w:rsidR="00E05D4F" w:rsidRPr="00EC12D6" w:rsidRDefault="002B517F" w:rsidP="00C73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</w:t>
      </w:r>
      <w:r w:rsidR="00C73455" w:rsidRPr="00EC12D6">
        <w:rPr>
          <w:rFonts w:ascii="Arial" w:hAnsi="Arial" w:cs="Arial"/>
          <w:sz w:val="24"/>
          <w:szCs w:val="24"/>
        </w:rPr>
        <w:t xml:space="preserve">сходы консолидированного бюджета </w:t>
      </w:r>
      <w:r w:rsidR="00E05D4F" w:rsidRPr="00EC12D6">
        <w:rPr>
          <w:rFonts w:ascii="Arial" w:hAnsi="Arial" w:cs="Arial"/>
          <w:sz w:val="24"/>
          <w:szCs w:val="24"/>
        </w:rPr>
        <w:t>Порецкого района</w:t>
      </w:r>
      <w:r w:rsidR="00C73455" w:rsidRPr="00EC12D6">
        <w:rPr>
          <w:rFonts w:ascii="Arial" w:hAnsi="Arial" w:cs="Arial"/>
          <w:sz w:val="24"/>
          <w:szCs w:val="24"/>
        </w:rPr>
        <w:t xml:space="preserve"> в 20</w:t>
      </w:r>
      <w:r w:rsidR="00E05D4F" w:rsidRPr="00EC12D6">
        <w:rPr>
          <w:rFonts w:ascii="Arial" w:hAnsi="Arial" w:cs="Arial"/>
          <w:sz w:val="24"/>
          <w:szCs w:val="24"/>
        </w:rPr>
        <w:t>2</w:t>
      </w:r>
      <w:r w:rsidR="00382BF6" w:rsidRPr="00EC12D6">
        <w:rPr>
          <w:rFonts w:ascii="Arial" w:hAnsi="Arial" w:cs="Arial"/>
          <w:sz w:val="24"/>
          <w:szCs w:val="24"/>
        </w:rPr>
        <w:t>1</w:t>
      </w:r>
      <w:r w:rsidR="00C73455" w:rsidRPr="00EC12D6">
        <w:rPr>
          <w:rFonts w:ascii="Arial" w:hAnsi="Arial" w:cs="Arial"/>
          <w:sz w:val="24"/>
          <w:szCs w:val="24"/>
        </w:rPr>
        <w:t xml:space="preserve"> году составили </w:t>
      </w:r>
      <w:r w:rsidR="00EC12D6" w:rsidRPr="00EC12D6">
        <w:rPr>
          <w:rFonts w:ascii="Arial" w:hAnsi="Arial" w:cs="Arial"/>
          <w:sz w:val="24"/>
          <w:szCs w:val="24"/>
        </w:rPr>
        <w:t>443 297,7</w:t>
      </w:r>
      <w:r w:rsidR="00C73455" w:rsidRPr="00EC12D6">
        <w:rPr>
          <w:rFonts w:ascii="Arial" w:hAnsi="Arial" w:cs="Arial"/>
          <w:sz w:val="24"/>
          <w:szCs w:val="24"/>
        </w:rPr>
        <w:t xml:space="preserve"> </w:t>
      </w:r>
      <w:r w:rsidR="00E05D4F" w:rsidRPr="00EC12D6">
        <w:rPr>
          <w:rFonts w:ascii="Arial" w:hAnsi="Arial" w:cs="Arial"/>
          <w:sz w:val="24"/>
          <w:szCs w:val="24"/>
        </w:rPr>
        <w:t>тыс</w:t>
      </w:r>
      <w:r w:rsidR="00C73455" w:rsidRPr="00EC12D6">
        <w:rPr>
          <w:rFonts w:ascii="Arial" w:hAnsi="Arial" w:cs="Arial"/>
          <w:sz w:val="24"/>
          <w:szCs w:val="24"/>
        </w:rPr>
        <w:t xml:space="preserve">. рублей, или </w:t>
      </w:r>
      <w:r w:rsidR="00EC12D6" w:rsidRPr="00EC12D6">
        <w:rPr>
          <w:rFonts w:ascii="Arial" w:hAnsi="Arial" w:cs="Arial"/>
          <w:sz w:val="24"/>
          <w:szCs w:val="24"/>
        </w:rPr>
        <w:t>94,5</w:t>
      </w:r>
      <w:r w:rsidR="00C73455" w:rsidRPr="00EC12D6">
        <w:rPr>
          <w:rFonts w:ascii="Arial" w:hAnsi="Arial" w:cs="Arial"/>
          <w:sz w:val="24"/>
          <w:szCs w:val="24"/>
        </w:rPr>
        <w:t>% к годовым плановым назначениям (</w:t>
      </w:r>
      <w:r w:rsidR="00EC12D6" w:rsidRPr="00EC12D6">
        <w:rPr>
          <w:rFonts w:ascii="Arial" w:hAnsi="Arial" w:cs="Arial"/>
          <w:sz w:val="24"/>
          <w:szCs w:val="24"/>
        </w:rPr>
        <w:t>94,0</w:t>
      </w:r>
      <w:r w:rsidR="00C73455" w:rsidRPr="00EC12D6">
        <w:rPr>
          <w:rFonts w:ascii="Arial" w:hAnsi="Arial" w:cs="Arial"/>
          <w:sz w:val="24"/>
          <w:szCs w:val="24"/>
        </w:rPr>
        <w:t>% к уровню 20</w:t>
      </w:r>
      <w:r w:rsidR="00EC12D6" w:rsidRPr="00EC12D6">
        <w:rPr>
          <w:rFonts w:ascii="Arial" w:hAnsi="Arial" w:cs="Arial"/>
          <w:sz w:val="24"/>
          <w:szCs w:val="24"/>
        </w:rPr>
        <w:t>20</w:t>
      </w:r>
      <w:r w:rsidR="00C73455" w:rsidRPr="00EC12D6">
        <w:rPr>
          <w:rFonts w:ascii="Arial" w:hAnsi="Arial" w:cs="Arial"/>
          <w:sz w:val="24"/>
          <w:szCs w:val="24"/>
        </w:rPr>
        <w:t xml:space="preserve"> года)</w:t>
      </w:r>
      <w:r w:rsidR="00E05D4F" w:rsidRPr="00EC12D6">
        <w:rPr>
          <w:rFonts w:ascii="Arial" w:hAnsi="Arial" w:cs="Arial"/>
          <w:sz w:val="24"/>
          <w:szCs w:val="24"/>
        </w:rPr>
        <w:t>.</w:t>
      </w:r>
    </w:p>
    <w:p w:rsidR="00073693" w:rsidRDefault="00C73455" w:rsidP="000C4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C12D6">
        <w:rPr>
          <w:rFonts w:ascii="Arial" w:hAnsi="Arial" w:cs="Arial"/>
          <w:sz w:val="24"/>
          <w:szCs w:val="24"/>
        </w:rPr>
        <w:t xml:space="preserve">В разрезе расходы консолидированного бюджета </w:t>
      </w:r>
      <w:r w:rsidR="00E05D4F" w:rsidRPr="00EC12D6">
        <w:rPr>
          <w:rFonts w:ascii="Arial" w:hAnsi="Arial" w:cs="Arial"/>
          <w:sz w:val="24"/>
          <w:szCs w:val="24"/>
        </w:rPr>
        <w:t>Порецкого района</w:t>
      </w:r>
      <w:r w:rsidRPr="00EC12D6">
        <w:rPr>
          <w:rFonts w:ascii="Arial" w:hAnsi="Arial" w:cs="Arial"/>
          <w:sz w:val="24"/>
          <w:szCs w:val="24"/>
        </w:rPr>
        <w:t xml:space="preserve"> в 20</w:t>
      </w:r>
      <w:r w:rsidR="00E05D4F" w:rsidRPr="00EC12D6">
        <w:rPr>
          <w:rFonts w:ascii="Arial" w:hAnsi="Arial" w:cs="Arial"/>
          <w:sz w:val="24"/>
          <w:szCs w:val="24"/>
        </w:rPr>
        <w:t>2</w:t>
      </w:r>
      <w:r w:rsidR="00EC12D6">
        <w:rPr>
          <w:rFonts w:ascii="Arial" w:hAnsi="Arial" w:cs="Arial"/>
          <w:sz w:val="24"/>
          <w:szCs w:val="24"/>
        </w:rPr>
        <w:t>1</w:t>
      </w:r>
      <w:r w:rsidR="00E05D4F" w:rsidRPr="00EC12D6">
        <w:rPr>
          <w:rFonts w:ascii="Arial" w:hAnsi="Arial" w:cs="Arial"/>
          <w:sz w:val="24"/>
          <w:szCs w:val="24"/>
        </w:rPr>
        <w:t xml:space="preserve"> году </w:t>
      </w:r>
      <w:r w:rsidRPr="00EC12D6">
        <w:rPr>
          <w:rFonts w:ascii="Arial" w:hAnsi="Arial" w:cs="Arial"/>
          <w:sz w:val="24"/>
          <w:szCs w:val="24"/>
        </w:rPr>
        <w:t xml:space="preserve">на образование – </w:t>
      </w:r>
      <w:r w:rsidR="00EC12D6">
        <w:rPr>
          <w:rFonts w:ascii="Arial" w:hAnsi="Arial" w:cs="Arial"/>
          <w:sz w:val="24"/>
          <w:szCs w:val="24"/>
        </w:rPr>
        <w:t>192 963,5</w:t>
      </w:r>
      <w:r w:rsidRPr="00EC12D6">
        <w:rPr>
          <w:rFonts w:ascii="Arial" w:hAnsi="Arial" w:cs="Arial"/>
          <w:sz w:val="24"/>
          <w:szCs w:val="24"/>
        </w:rPr>
        <w:t xml:space="preserve"> </w:t>
      </w:r>
      <w:r w:rsidR="00E05D4F" w:rsidRPr="00EC12D6">
        <w:rPr>
          <w:rFonts w:ascii="Arial" w:hAnsi="Arial" w:cs="Arial"/>
          <w:sz w:val="24"/>
          <w:szCs w:val="24"/>
        </w:rPr>
        <w:t>тыс</w:t>
      </w:r>
      <w:r w:rsidRPr="00EC12D6">
        <w:rPr>
          <w:rFonts w:ascii="Arial" w:hAnsi="Arial" w:cs="Arial"/>
          <w:sz w:val="24"/>
          <w:szCs w:val="24"/>
        </w:rPr>
        <w:t>. рублей (</w:t>
      </w:r>
      <w:r w:rsidR="00EC12D6">
        <w:rPr>
          <w:rFonts w:ascii="Arial" w:hAnsi="Arial" w:cs="Arial"/>
          <w:sz w:val="24"/>
          <w:szCs w:val="24"/>
        </w:rPr>
        <w:t>118,4</w:t>
      </w:r>
      <w:r w:rsidRPr="00EC12D6">
        <w:rPr>
          <w:rFonts w:ascii="Arial" w:hAnsi="Arial" w:cs="Arial"/>
          <w:sz w:val="24"/>
          <w:szCs w:val="24"/>
        </w:rPr>
        <w:t>% к 20</w:t>
      </w:r>
      <w:r w:rsidR="00EC12D6">
        <w:rPr>
          <w:rFonts w:ascii="Arial" w:hAnsi="Arial" w:cs="Arial"/>
          <w:sz w:val="24"/>
          <w:szCs w:val="24"/>
        </w:rPr>
        <w:t>20</w:t>
      </w:r>
      <w:r w:rsidRPr="00EC12D6">
        <w:rPr>
          <w:rFonts w:ascii="Arial" w:hAnsi="Arial" w:cs="Arial"/>
          <w:sz w:val="24"/>
          <w:szCs w:val="24"/>
        </w:rPr>
        <w:t xml:space="preserve"> году), </w:t>
      </w:r>
      <w:r w:rsidR="00E05D4F" w:rsidRPr="00EC12D6">
        <w:rPr>
          <w:rFonts w:ascii="Arial" w:hAnsi="Arial" w:cs="Arial"/>
          <w:sz w:val="24"/>
          <w:szCs w:val="24"/>
        </w:rPr>
        <w:t xml:space="preserve">культура и </w:t>
      </w:r>
      <w:r w:rsidR="00E05D4F" w:rsidRPr="00EC12D6">
        <w:rPr>
          <w:rFonts w:ascii="Arial" w:hAnsi="Arial" w:cs="Arial"/>
          <w:sz w:val="24"/>
          <w:szCs w:val="24"/>
        </w:rPr>
        <w:lastRenderedPageBreak/>
        <w:t>кинематография</w:t>
      </w:r>
      <w:r w:rsidRPr="00EC12D6">
        <w:rPr>
          <w:rFonts w:ascii="Arial" w:hAnsi="Arial" w:cs="Arial"/>
          <w:sz w:val="24"/>
          <w:szCs w:val="24"/>
        </w:rPr>
        <w:t xml:space="preserve"> – </w:t>
      </w:r>
      <w:r w:rsidR="00E37AFC">
        <w:rPr>
          <w:rFonts w:ascii="Arial" w:hAnsi="Arial" w:cs="Arial"/>
          <w:sz w:val="24"/>
          <w:szCs w:val="24"/>
        </w:rPr>
        <w:t>46 462,5</w:t>
      </w:r>
      <w:r w:rsidR="00E05D4F" w:rsidRPr="00EC12D6">
        <w:rPr>
          <w:rFonts w:ascii="Arial" w:hAnsi="Arial" w:cs="Arial"/>
          <w:sz w:val="24"/>
          <w:szCs w:val="24"/>
        </w:rPr>
        <w:t xml:space="preserve"> тыс</w:t>
      </w:r>
      <w:r w:rsidRPr="00EC12D6">
        <w:rPr>
          <w:rFonts w:ascii="Arial" w:hAnsi="Arial" w:cs="Arial"/>
          <w:sz w:val="24"/>
          <w:szCs w:val="24"/>
        </w:rPr>
        <w:t>. рублей (</w:t>
      </w:r>
      <w:r w:rsidR="00EC12D6">
        <w:rPr>
          <w:rFonts w:ascii="Arial" w:hAnsi="Arial" w:cs="Arial"/>
          <w:sz w:val="24"/>
          <w:szCs w:val="24"/>
        </w:rPr>
        <w:t>77,9</w:t>
      </w:r>
      <w:r w:rsidRPr="00EC12D6">
        <w:rPr>
          <w:rFonts w:ascii="Arial" w:hAnsi="Arial" w:cs="Arial"/>
          <w:sz w:val="24"/>
          <w:szCs w:val="24"/>
        </w:rPr>
        <w:t>% к 20</w:t>
      </w:r>
      <w:r w:rsidR="00EC12D6">
        <w:rPr>
          <w:rFonts w:ascii="Arial" w:hAnsi="Arial" w:cs="Arial"/>
          <w:sz w:val="24"/>
          <w:szCs w:val="24"/>
        </w:rPr>
        <w:t>20</w:t>
      </w:r>
      <w:r w:rsidRPr="00EC12D6">
        <w:rPr>
          <w:rFonts w:ascii="Arial" w:hAnsi="Arial" w:cs="Arial"/>
          <w:sz w:val="24"/>
          <w:szCs w:val="24"/>
        </w:rPr>
        <w:t xml:space="preserve"> году), социальную политику – </w:t>
      </w:r>
      <w:r w:rsidR="00EC12D6">
        <w:rPr>
          <w:rFonts w:ascii="Arial" w:hAnsi="Arial" w:cs="Arial"/>
          <w:sz w:val="24"/>
          <w:szCs w:val="24"/>
        </w:rPr>
        <w:t>16 449,3</w:t>
      </w:r>
      <w:r w:rsidRPr="00EC12D6">
        <w:rPr>
          <w:rFonts w:ascii="Arial" w:hAnsi="Arial" w:cs="Arial"/>
          <w:sz w:val="24"/>
          <w:szCs w:val="24"/>
        </w:rPr>
        <w:t xml:space="preserve"> </w:t>
      </w:r>
      <w:r w:rsidR="00FE0E8B" w:rsidRPr="00EC12D6">
        <w:rPr>
          <w:rFonts w:ascii="Arial" w:hAnsi="Arial" w:cs="Arial"/>
          <w:sz w:val="24"/>
          <w:szCs w:val="24"/>
        </w:rPr>
        <w:t>тыс</w:t>
      </w:r>
      <w:r w:rsidRPr="00EC12D6">
        <w:rPr>
          <w:rFonts w:ascii="Arial" w:hAnsi="Arial" w:cs="Arial"/>
          <w:sz w:val="24"/>
          <w:szCs w:val="24"/>
        </w:rPr>
        <w:t>. рублей (</w:t>
      </w:r>
      <w:r w:rsidR="00EC12D6">
        <w:rPr>
          <w:rFonts w:ascii="Arial" w:hAnsi="Arial" w:cs="Arial"/>
          <w:sz w:val="24"/>
          <w:szCs w:val="24"/>
        </w:rPr>
        <w:t>129,8</w:t>
      </w:r>
      <w:r w:rsidRPr="00EC12D6">
        <w:rPr>
          <w:rFonts w:ascii="Arial" w:hAnsi="Arial" w:cs="Arial"/>
          <w:sz w:val="24"/>
          <w:szCs w:val="24"/>
        </w:rPr>
        <w:t>% к 20</w:t>
      </w:r>
      <w:r w:rsidR="00EC12D6">
        <w:rPr>
          <w:rFonts w:ascii="Arial" w:hAnsi="Arial" w:cs="Arial"/>
          <w:sz w:val="24"/>
          <w:szCs w:val="24"/>
        </w:rPr>
        <w:t>20</w:t>
      </w:r>
      <w:r w:rsidRPr="00EC12D6">
        <w:rPr>
          <w:rFonts w:ascii="Arial" w:hAnsi="Arial" w:cs="Arial"/>
          <w:sz w:val="24"/>
          <w:szCs w:val="24"/>
        </w:rPr>
        <w:t xml:space="preserve"> году).</w:t>
      </w:r>
    </w:p>
    <w:p w:rsidR="00EB2308" w:rsidRDefault="00EB2308" w:rsidP="000C45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A5733" w:rsidRDefault="00EB2308" w:rsidP="004A573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4A5733">
        <w:rPr>
          <w:rFonts w:ascii="Arial" w:hAnsi="Arial" w:cs="Arial"/>
          <w:b/>
          <w:sz w:val="24"/>
          <w:szCs w:val="24"/>
        </w:rPr>
        <w:t xml:space="preserve">Исполнение </w:t>
      </w:r>
      <w:r w:rsidR="00060BA4">
        <w:rPr>
          <w:rFonts w:ascii="Arial" w:hAnsi="Arial" w:cs="Arial"/>
          <w:b/>
          <w:sz w:val="24"/>
          <w:szCs w:val="24"/>
        </w:rPr>
        <w:t xml:space="preserve">консолидированного </w:t>
      </w:r>
      <w:r w:rsidRPr="004A5733">
        <w:rPr>
          <w:rFonts w:ascii="Arial" w:hAnsi="Arial" w:cs="Arial"/>
          <w:b/>
          <w:sz w:val="24"/>
          <w:szCs w:val="24"/>
        </w:rPr>
        <w:t>бюджета Порецкого района по расходам</w:t>
      </w:r>
      <w:r w:rsidR="004A5733" w:rsidRPr="004A5733">
        <w:rPr>
          <w:rFonts w:ascii="Arial" w:hAnsi="Arial" w:cs="Arial"/>
          <w:b/>
          <w:sz w:val="24"/>
          <w:szCs w:val="24"/>
        </w:rPr>
        <w:t xml:space="preserve"> за 202</w:t>
      </w:r>
      <w:r w:rsidR="0086132B">
        <w:rPr>
          <w:rFonts w:ascii="Arial" w:hAnsi="Arial" w:cs="Arial"/>
          <w:b/>
          <w:sz w:val="24"/>
          <w:szCs w:val="24"/>
        </w:rPr>
        <w:t>1</w:t>
      </w:r>
      <w:r w:rsidR="004A5733" w:rsidRPr="004A5733">
        <w:rPr>
          <w:rFonts w:ascii="Arial" w:hAnsi="Arial" w:cs="Arial"/>
          <w:b/>
          <w:sz w:val="24"/>
          <w:szCs w:val="24"/>
        </w:rPr>
        <w:t xml:space="preserve"> год</w:t>
      </w:r>
    </w:p>
    <w:p w:rsidR="004A5733" w:rsidRPr="004A5733" w:rsidRDefault="00060BA4" w:rsidP="004A5733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60BA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5486400" cy="295910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71A37" w:rsidRDefault="00771A37" w:rsidP="00502B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1A37" w:rsidRDefault="00771A37" w:rsidP="00F73F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55" w:rsidRPr="00DC5355" w:rsidRDefault="00C73455" w:rsidP="00C7345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C5355">
        <w:rPr>
          <w:rFonts w:ascii="Arial" w:hAnsi="Arial" w:cs="Arial"/>
          <w:sz w:val="24"/>
          <w:szCs w:val="24"/>
        </w:rPr>
        <w:t xml:space="preserve">Формирование и исполнение консолидированного бюджета </w:t>
      </w:r>
      <w:r w:rsidR="00FE0E8B">
        <w:rPr>
          <w:rFonts w:ascii="Arial" w:hAnsi="Arial" w:cs="Arial"/>
          <w:sz w:val="24"/>
          <w:szCs w:val="24"/>
        </w:rPr>
        <w:t>Порецк</w:t>
      </w:r>
      <w:r w:rsidR="00382BF6">
        <w:rPr>
          <w:rFonts w:ascii="Arial" w:hAnsi="Arial" w:cs="Arial"/>
          <w:sz w:val="24"/>
          <w:szCs w:val="24"/>
        </w:rPr>
        <w:t>ого района осуществлялось в 2021</w:t>
      </w:r>
      <w:r w:rsidRPr="00DC5355">
        <w:rPr>
          <w:rFonts w:ascii="Arial" w:hAnsi="Arial" w:cs="Arial"/>
          <w:sz w:val="24"/>
          <w:szCs w:val="24"/>
        </w:rPr>
        <w:t xml:space="preserve"> году с учетом необходимости реализации приоритетных направлений расходов, в первую очередь, определенных Указом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года».</w:t>
      </w:r>
    </w:p>
    <w:p w:rsidR="00C73455" w:rsidRDefault="00C73455" w:rsidP="00BA58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1965">
        <w:rPr>
          <w:rFonts w:ascii="Arial" w:hAnsi="Arial" w:cs="Arial"/>
          <w:sz w:val="24"/>
          <w:szCs w:val="24"/>
        </w:rPr>
        <w:t>В 20</w:t>
      </w:r>
      <w:r w:rsidR="00FE0E8B" w:rsidRPr="00091965">
        <w:rPr>
          <w:rFonts w:ascii="Arial" w:hAnsi="Arial" w:cs="Arial"/>
          <w:sz w:val="24"/>
          <w:szCs w:val="24"/>
        </w:rPr>
        <w:t>2</w:t>
      </w:r>
      <w:r w:rsidR="00382BF6">
        <w:rPr>
          <w:rFonts w:ascii="Arial" w:hAnsi="Arial" w:cs="Arial"/>
          <w:sz w:val="24"/>
          <w:szCs w:val="24"/>
        </w:rPr>
        <w:t>1</w:t>
      </w:r>
      <w:r w:rsidR="00FE0E8B" w:rsidRPr="00091965">
        <w:rPr>
          <w:rFonts w:ascii="Arial" w:hAnsi="Arial" w:cs="Arial"/>
          <w:sz w:val="24"/>
          <w:szCs w:val="24"/>
        </w:rPr>
        <w:t xml:space="preserve"> </w:t>
      </w:r>
      <w:r w:rsidRPr="00091965">
        <w:rPr>
          <w:rFonts w:ascii="Arial" w:hAnsi="Arial" w:cs="Arial"/>
          <w:sz w:val="24"/>
          <w:szCs w:val="24"/>
        </w:rPr>
        <w:t xml:space="preserve">году </w:t>
      </w:r>
      <w:r w:rsidR="00091965" w:rsidRPr="00091965">
        <w:rPr>
          <w:rFonts w:ascii="Arial" w:hAnsi="Arial" w:cs="Arial"/>
          <w:sz w:val="24"/>
          <w:szCs w:val="24"/>
        </w:rPr>
        <w:t>в Порецком районе реализовано</w:t>
      </w:r>
      <w:r w:rsidRPr="00091965">
        <w:rPr>
          <w:rFonts w:ascii="Arial" w:hAnsi="Arial" w:cs="Arial"/>
          <w:sz w:val="24"/>
          <w:szCs w:val="24"/>
        </w:rPr>
        <w:t xml:space="preserve"> </w:t>
      </w:r>
      <w:r w:rsidR="0084330B" w:rsidRPr="00091965">
        <w:rPr>
          <w:rFonts w:ascii="Arial" w:hAnsi="Arial" w:cs="Arial"/>
          <w:sz w:val="24"/>
          <w:szCs w:val="24"/>
        </w:rPr>
        <w:t>3</w:t>
      </w:r>
      <w:r w:rsidR="00091965">
        <w:rPr>
          <w:rFonts w:ascii="Arial" w:hAnsi="Arial" w:cs="Arial"/>
          <w:sz w:val="24"/>
          <w:szCs w:val="24"/>
        </w:rPr>
        <w:t xml:space="preserve"> национальных проекта на общую сумму </w:t>
      </w:r>
      <w:r w:rsidR="004B4E6D">
        <w:rPr>
          <w:rFonts w:ascii="Arial" w:hAnsi="Arial" w:cs="Arial"/>
          <w:sz w:val="24"/>
          <w:szCs w:val="24"/>
        </w:rPr>
        <w:t>29 098 357,43</w:t>
      </w:r>
      <w:r w:rsidR="00091965">
        <w:rPr>
          <w:rFonts w:ascii="Arial" w:hAnsi="Arial" w:cs="Arial"/>
          <w:sz w:val="24"/>
          <w:szCs w:val="24"/>
        </w:rPr>
        <w:t xml:space="preserve"> рублей, в том числе на национальный проект «Образование» – </w:t>
      </w:r>
      <w:r w:rsidR="004B4E6D">
        <w:rPr>
          <w:rFonts w:ascii="Arial" w:hAnsi="Arial" w:cs="Arial"/>
          <w:sz w:val="24"/>
          <w:szCs w:val="24"/>
        </w:rPr>
        <w:t>2 406 883,80</w:t>
      </w:r>
      <w:r w:rsidR="00091965">
        <w:rPr>
          <w:rFonts w:ascii="Arial" w:hAnsi="Arial" w:cs="Arial"/>
          <w:sz w:val="24"/>
          <w:szCs w:val="24"/>
        </w:rPr>
        <w:t xml:space="preserve"> рублей, на национальный проект «Жилье и городская среда» – </w:t>
      </w:r>
      <w:r w:rsidR="004B4E6D">
        <w:rPr>
          <w:rFonts w:ascii="Arial" w:hAnsi="Arial" w:cs="Arial"/>
          <w:sz w:val="24"/>
          <w:szCs w:val="24"/>
        </w:rPr>
        <w:t>26 516 473,63</w:t>
      </w:r>
      <w:r w:rsidR="00091965">
        <w:rPr>
          <w:rFonts w:ascii="Arial" w:hAnsi="Arial" w:cs="Arial"/>
          <w:sz w:val="24"/>
          <w:szCs w:val="24"/>
        </w:rPr>
        <w:t xml:space="preserve"> рублей, на национальный проект «</w:t>
      </w:r>
      <w:r w:rsidR="004B4E6D">
        <w:rPr>
          <w:rFonts w:ascii="Arial" w:hAnsi="Arial" w:cs="Arial"/>
          <w:sz w:val="24"/>
          <w:szCs w:val="24"/>
        </w:rPr>
        <w:t>Культура</w:t>
      </w:r>
      <w:r w:rsidR="00091965">
        <w:rPr>
          <w:rFonts w:ascii="Arial" w:hAnsi="Arial" w:cs="Arial"/>
          <w:sz w:val="24"/>
          <w:szCs w:val="24"/>
        </w:rPr>
        <w:t xml:space="preserve">» – </w:t>
      </w:r>
      <w:r w:rsidR="004B4E6D">
        <w:rPr>
          <w:rFonts w:ascii="Arial" w:hAnsi="Arial" w:cs="Arial"/>
          <w:sz w:val="24"/>
          <w:szCs w:val="24"/>
        </w:rPr>
        <w:t>175 000</w:t>
      </w:r>
      <w:r w:rsidR="00091965">
        <w:rPr>
          <w:rFonts w:ascii="Arial" w:hAnsi="Arial" w:cs="Arial"/>
          <w:sz w:val="24"/>
          <w:szCs w:val="24"/>
        </w:rPr>
        <w:t xml:space="preserve"> рублей.</w:t>
      </w:r>
    </w:p>
    <w:p w:rsidR="007D38EE" w:rsidRDefault="007D38EE" w:rsidP="00B847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38EE" w:rsidRDefault="007D38EE" w:rsidP="007D38EE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D38EE">
        <w:rPr>
          <w:rFonts w:ascii="Arial" w:hAnsi="Arial" w:cs="Arial"/>
          <w:b/>
          <w:sz w:val="24"/>
          <w:szCs w:val="24"/>
        </w:rPr>
        <w:t>Расходы консолидированного бюджета Порецкого района на финансирование мероприятий национальных проектов в 202</w:t>
      </w:r>
      <w:r w:rsidR="004B4E6D">
        <w:rPr>
          <w:rFonts w:ascii="Arial" w:hAnsi="Arial" w:cs="Arial"/>
          <w:b/>
          <w:sz w:val="24"/>
          <w:szCs w:val="24"/>
        </w:rPr>
        <w:t>1</w:t>
      </w:r>
      <w:r w:rsidRPr="007D38EE">
        <w:rPr>
          <w:rFonts w:ascii="Arial" w:hAnsi="Arial" w:cs="Arial"/>
          <w:b/>
          <w:sz w:val="24"/>
          <w:szCs w:val="24"/>
        </w:rPr>
        <w:t xml:space="preserve"> году</w:t>
      </w:r>
    </w:p>
    <w:p w:rsidR="000C6ACE" w:rsidRDefault="000C6ACE" w:rsidP="000C6ACE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</w:p>
    <w:p w:rsidR="000C6ACE" w:rsidRPr="002307FB" w:rsidRDefault="000C6ACE" w:rsidP="002307FB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</w:t>
      </w:r>
      <w:r w:rsidRPr="000C6ACE">
        <w:rPr>
          <w:rFonts w:ascii="Arial" w:hAnsi="Arial" w:cs="Arial"/>
          <w:b/>
        </w:rPr>
        <w:t>(рублей)</w:t>
      </w:r>
    </w:p>
    <w:p w:rsidR="00247EE5" w:rsidRDefault="00C81A8A" w:rsidP="00BA58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1A8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251450" cy="2006600"/>
            <wp:effectExtent l="19050" t="0" r="2540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7EE5" w:rsidRPr="00BA5889" w:rsidRDefault="00247EE5" w:rsidP="00BA58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73455" w:rsidRPr="00BA5889" w:rsidRDefault="00BA5889" w:rsidP="00C40A39">
      <w:pPr>
        <w:tabs>
          <w:tab w:val="left" w:pos="89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5889">
        <w:rPr>
          <w:rFonts w:ascii="Arial" w:hAnsi="Arial" w:cs="Arial"/>
          <w:sz w:val="24"/>
          <w:szCs w:val="24"/>
        </w:rPr>
        <w:lastRenderedPageBreak/>
        <w:t>С целью обеспечения сбалансированности консолидированного бюджета района при его исполнении в 202</w:t>
      </w:r>
      <w:r w:rsidR="00F91817">
        <w:rPr>
          <w:rFonts w:ascii="Arial" w:hAnsi="Arial" w:cs="Arial"/>
          <w:sz w:val="24"/>
          <w:szCs w:val="24"/>
        </w:rPr>
        <w:t>1</w:t>
      </w:r>
      <w:r w:rsidRPr="00BA5889">
        <w:rPr>
          <w:rFonts w:ascii="Arial" w:hAnsi="Arial" w:cs="Arial"/>
          <w:sz w:val="24"/>
          <w:szCs w:val="24"/>
        </w:rPr>
        <w:t xml:space="preserve"> году первоочередными являлись</w:t>
      </w:r>
      <w:r w:rsidR="002F0926">
        <w:rPr>
          <w:rFonts w:ascii="Arial" w:hAnsi="Arial" w:cs="Arial"/>
          <w:sz w:val="24"/>
          <w:szCs w:val="24"/>
        </w:rPr>
        <w:t xml:space="preserve"> следующие расходы, связанные с</w:t>
      </w:r>
      <w:r w:rsidRPr="00BA5889">
        <w:rPr>
          <w:rFonts w:ascii="Arial" w:hAnsi="Arial" w:cs="Arial"/>
          <w:sz w:val="24"/>
          <w:szCs w:val="24"/>
        </w:rPr>
        <w:t>:</w:t>
      </w:r>
    </w:p>
    <w:p w:rsidR="00BA5889" w:rsidRDefault="005D4BCF" w:rsidP="005D4BCF">
      <w:pPr>
        <w:pStyle w:val="a3"/>
        <w:numPr>
          <w:ilvl w:val="0"/>
          <w:numId w:val="2"/>
        </w:numPr>
        <w:tabs>
          <w:tab w:val="left" w:pos="8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BA5889" w:rsidRPr="00BA5889">
        <w:rPr>
          <w:rFonts w:ascii="Arial" w:hAnsi="Arial" w:cs="Arial"/>
          <w:sz w:val="24"/>
          <w:szCs w:val="24"/>
        </w:rPr>
        <w:t xml:space="preserve">ыплатой заработной платы и начислений на нее, с социальными выплатами, закупкой продуктов питания (услуг по обеспечению питанием), оплатой услуг по доставке учащихся района в общеобразовательные учреждения, закупкой нефтепродуктов для муниципальных нужд и нужд муниципальных учреждении района, оплатой коммунальных услуг, оплатой услуг </w:t>
      </w:r>
      <w:r w:rsidR="002F0926">
        <w:rPr>
          <w:rFonts w:ascii="Arial" w:hAnsi="Arial" w:cs="Arial"/>
          <w:sz w:val="24"/>
          <w:szCs w:val="24"/>
        </w:rPr>
        <w:t>связи, уплатой налогов и сборов</w:t>
      </w:r>
      <w:r>
        <w:rPr>
          <w:rFonts w:ascii="Arial" w:hAnsi="Arial" w:cs="Arial"/>
          <w:sz w:val="24"/>
          <w:szCs w:val="24"/>
        </w:rPr>
        <w:t xml:space="preserve">, </w:t>
      </w:r>
      <w:r w:rsidR="00A819A7">
        <w:rPr>
          <w:rFonts w:ascii="Arial" w:hAnsi="Arial" w:cs="Arial"/>
          <w:sz w:val="24"/>
          <w:szCs w:val="24"/>
        </w:rPr>
        <w:t xml:space="preserve">выделением </w:t>
      </w:r>
      <w:r>
        <w:rPr>
          <w:rFonts w:ascii="Arial" w:hAnsi="Arial" w:cs="Arial"/>
          <w:sz w:val="24"/>
          <w:szCs w:val="24"/>
        </w:rPr>
        <w:t>субсиди</w:t>
      </w:r>
      <w:r w:rsidR="00A819A7">
        <w:rPr>
          <w:rFonts w:ascii="Arial" w:hAnsi="Arial" w:cs="Arial"/>
          <w:sz w:val="24"/>
          <w:szCs w:val="24"/>
        </w:rPr>
        <w:t>й</w:t>
      </w:r>
      <w:r>
        <w:rPr>
          <w:rFonts w:ascii="Arial" w:hAnsi="Arial" w:cs="Arial"/>
          <w:sz w:val="24"/>
          <w:szCs w:val="24"/>
        </w:rPr>
        <w:t xml:space="preserve"> </w:t>
      </w:r>
      <w:r w:rsidR="00A819A7">
        <w:rPr>
          <w:rFonts w:ascii="Arial" w:hAnsi="Arial" w:cs="Arial"/>
          <w:sz w:val="24"/>
          <w:szCs w:val="24"/>
        </w:rPr>
        <w:t xml:space="preserve">бюджетным (автономным) </w:t>
      </w:r>
      <w:r>
        <w:rPr>
          <w:rFonts w:ascii="Arial" w:hAnsi="Arial" w:cs="Arial"/>
          <w:sz w:val="24"/>
          <w:szCs w:val="24"/>
        </w:rPr>
        <w:t>учреждени</w:t>
      </w:r>
      <w:r w:rsidR="00A819A7">
        <w:rPr>
          <w:rFonts w:ascii="Arial" w:hAnsi="Arial" w:cs="Arial"/>
          <w:sz w:val="24"/>
          <w:szCs w:val="24"/>
        </w:rPr>
        <w:t>ям</w:t>
      </w:r>
      <w:r>
        <w:rPr>
          <w:rFonts w:ascii="Arial" w:hAnsi="Arial" w:cs="Arial"/>
          <w:sz w:val="24"/>
          <w:szCs w:val="24"/>
        </w:rPr>
        <w:t xml:space="preserve"> на выполнение муниципального задания;</w:t>
      </w:r>
    </w:p>
    <w:p w:rsidR="002F0926" w:rsidRDefault="002F0926" w:rsidP="005D4BCF">
      <w:pPr>
        <w:pStyle w:val="a3"/>
        <w:numPr>
          <w:ilvl w:val="0"/>
          <w:numId w:val="2"/>
        </w:numPr>
        <w:tabs>
          <w:tab w:val="left" w:pos="89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Pr="002F0926">
        <w:rPr>
          <w:rFonts w:ascii="Arial" w:hAnsi="Arial" w:cs="Arial"/>
          <w:sz w:val="24"/>
          <w:szCs w:val="24"/>
        </w:rPr>
        <w:t xml:space="preserve">редоставлением </w:t>
      </w:r>
      <w:r>
        <w:rPr>
          <w:rFonts w:ascii="Arial" w:hAnsi="Arial" w:cs="Arial"/>
          <w:sz w:val="24"/>
          <w:szCs w:val="24"/>
        </w:rPr>
        <w:t xml:space="preserve">межбюджетных трансфертов на выравнивание и обеспечение сбалансированности бюджетов </w:t>
      </w:r>
      <w:r w:rsidR="00A819A7">
        <w:rPr>
          <w:rFonts w:ascii="Arial" w:hAnsi="Arial" w:cs="Arial"/>
          <w:sz w:val="24"/>
          <w:szCs w:val="24"/>
        </w:rPr>
        <w:t xml:space="preserve">сельских </w:t>
      </w:r>
      <w:r>
        <w:rPr>
          <w:rFonts w:ascii="Arial" w:hAnsi="Arial" w:cs="Arial"/>
          <w:sz w:val="24"/>
          <w:szCs w:val="24"/>
        </w:rPr>
        <w:t>поселений района.</w:t>
      </w:r>
    </w:p>
    <w:p w:rsidR="002F0926" w:rsidRDefault="002F0926" w:rsidP="002F0926">
      <w:pPr>
        <w:pStyle w:val="a3"/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Собственные доходы бюджета  района на </w:t>
      </w:r>
      <w:r w:rsidRPr="009451CB">
        <w:rPr>
          <w:rFonts w:ascii="Arial" w:hAnsi="Arial" w:cs="Arial"/>
          <w:sz w:val="24"/>
          <w:szCs w:val="24"/>
        </w:rPr>
        <w:t xml:space="preserve">1 жителя </w:t>
      </w:r>
      <w:r w:rsidR="005D4BCF" w:rsidRPr="009451CB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91817">
        <w:rPr>
          <w:rFonts w:ascii="Arial" w:hAnsi="Arial" w:cs="Arial"/>
          <w:sz w:val="24"/>
          <w:szCs w:val="24"/>
        </w:rPr>
        <w:t>10 129,56</w:t>
      </w:r>
      <w:r w:rsidR="009451CB">
        <w:rPr>
          <w:rFonts w:ascii="Arial" w:hAnsi="Arial" w:cs="Arial"/>
          <w:sz w:val="24"/>
          <w:szCs w:val="24"/>
        </w:rPr>
        <w:t xml:space="preserve"> рублей.</w:t>
      </w:r>
    </w:p>
    <w:p w:rsidR="00DA0CA5" w:rsidRDefault="00DA0CA5" w:rsidP="002F0926">
      <w:pPr>
        <w:pStyle w:val="a3"/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CA5" w:rsidRDefault="00DA0CA5" w:rsidP="00DA0CA5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775980">
        <w:rPr>
          <w:rFonts w:ascii="Arial" w:hAnsi="Arial" w:cs="Arial"/>
          <w:b/>
          <w:sz w:val="24"/>
          <w:szCs w:val="24"/>
        </w:rPr>
        <w:t>Исполнение «майских» указов Президент</w:t>
      </w:r>
      <w:r>
        <w:rPr>
          <w:rFonts w:ascii="Arial" w:hAnsi="Arial" w:cs="Arial"/>
          <w:b/>
          <w:sz w:val="24"/>
          <w:szCs w:val="24"/>
        </w:rPr>
        <w:t>а</w:t>
      </w:r>
      <w:r w:rsidRPr="00775980">
        <w:rPr>
          <w:rFonts w:ascii="Arial" w:hAnsi="Arial" w:cs="Arial"/>
          <w:b/>
          <w:sz w:val="24"/>
          <w:szCs w:val="24"/>
        </w:rPr>
        <w:t xml:space="preserve"> России Владимира Путина в части повышения заработной платы работникам бюджетной сферы</w:t>
      </w:r>
    </w:p>
    <w:p w:rsidR="00DA0CA5" w:rsidRPr="00EF68BA" w:rsidRDefault="00DA0CA5" w:rsidP="00EF68BA">
      <w:pPr>
        <w:tabs>
          <w:tab w:val="left" w:pos="89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455" w:rsidRPr="00EC12D6" w:rsidRDefault="005D4BCF" w:rsidP="009451CB">
      <w:pPr>
        <w:pStyle w:val="a3"/>
        <w:tabs>
          <w:tab w:val="left" w:pos="89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EC12D6">
        <w:rPr>
          <w:rFonts w:ascii="Arial" w:hAnsi="Arial" w:cs="Arial"/>
          <w:sz w:val="24"/>
          <w:szCs w:val="24"/>
        </w:rPr>
        <w:t>В Порецком районе многое делается для достижения показателей, определенных в майских указах Президента Российской Федерации.</w:t>
      </w:r>
    </w:p>
    <w:p w:rsidR="00A973D6" w:rsidRPr="00EC12D6" w:rsidRDefault="00A973D6" w:rsidP="009451CB">
      <w:pPr>
        <w:pStyle w:val="a3"/>
        <w:tabs>
          <w:tab w:val="left" w:pos="89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EC12D6">
        <w:rPr>
          <w:rFonts w:ascii="Arial" w:hAnsi="Arial" w:cs="Arial"/>
          <w:sz w:val="24"/>
          <w:szCs w:val="24"/>
        </w:rPr>
        <w:t>В результате реализации принятых решений в районе в 202</w:t>
      </w:r>
      <w:r w:rsidR="00F91817" w:rsidRPr="00EC12D6">
        <w:rPr>
          <w:rFonts w:ascii="Arial" w:hAnsi="Arial" w:cs="Arial"/>
          <w:sz w:val="24"/>
          <w:szCs w:val="24"/>
        </w:rPr>
        <w:t>1</w:t>
      </w:r>
      <w:r w:rsidRPr="00EC12D6">
        <w:rPr>
          <w:rFonts w:ascii="Arial" w:hAnsi="Arial" w:cs="Arial"/>
          <w:sz w:val="24"/>
          <w:szCs w:val="24"/>
        </w:rPr>
        <w:t xml:space="preserve"> г. средняя заработная плата составила:</w:t>
      </w:r>
    </w:p>
    <w:p w:rsidR="00A973D6" w:rsidRPr="00EC12D6" w:rsidRDefault="00A973D6" w:rsidP="009451CB">
      <w:pPr>
        <w:pStyle w:val="a3"/>
        <w:tabs>
          <w:tab w:val="left" w:pos="89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EC12D6">
        <w:rPr>
          <w:rFonts w:ascii="Arial" w:hAnsi="Arial" w:cs="Arial"/>
          <w:sz w:val="24"/>
          <w:szCs w:val="24"/>
        </w:rPr>
        <w:t xml:space="preserve">педагогических работников общеобразовательных учреждений </w:t>
      </w:r>
      <w:r w:rsidR="00EC12D6" w:rsidRPr="00EC12D6">
        <w:rPr>
          <w:rFonts w:ascii="Arial" w:hAnsi="Arial" w:cs="Arial"/>
          <w:sz w:val="24"/>
          <w:szCs w:val="24"/>
        </w:rPr>
        <w:t>32 270,35</w:t>
      </w:r>
      <w:r w:rsidRPr="00EC12D6">
        <w:rPr>
          <w:rFonts w:ascii="Arial" w:hAnsi="Arial" w:cs="Arial"/>
          <w:sz w:val="24"/>
          <w:szCs w:val="24"/>
        </w:rPr>
        <w:t xml:space="preserve"> рублей, в 20</w:t>
      </w:r>
      <w:r w:rsidR="00F91817" w:rsidRPr="00EC12D6">
        <w:rPr>
          <w:rFonts w:ascii="Arial" w:hAnsi="Arial" w:cs="Arial"/>
          <w:sz w:val="24"/>
          <w:szCs w:val="24"/>
        </w:rPr>
        <w:t>20</w:t>
      </w:r>
      <w:r w:rsidR="000D0A97" w:rsidRPr="00EC12D6">
        <w:rPr>
          <w:rFonts w:ascii="Arial" w:hAnsi="Arial" w:cs="Arial"/>
          <w:sz w:val="24"/>
          <w:szCs w:val="24"/>
        </w:rPr>
        <w:t xml:space="preserve"> </w:t>
      </w:r>
      <w:r w:rsidRPr="00EC12D6">
        <w:rPr>
          <w:rFonts w:ascii="Arial" w:hAnsi="Arial" w:cs="Arial"/>
          <w:sz w:val="24"/>
          <w:szCs w:val="24"/>
        </w:rPr>
        <w:t>г</w:t>
      </w:r>
      <w:r w:rsidR="000D0A97" w:rsidRPr="00EC12D6">
        <w:rPr>
          <w:rFonts w:ascii="Arial" w:hAnsi="Arial" w:cs="Arial"/>
          <w:sz w:val="24"/>
          <w:szCs w:val="24"/>
        </w:rPr>
        <w:t>.</w:t>
      </w:r>
      <w:r w:rsidRPr="00EC12D6">
        <w:rPr>
          <w:rFonts w:ascii="Arial" w:hAnsi="Arial" w:cs="Arial"/>
          <w:sz w:val="24"/>
          <w:szCs w:val="24"/>
        </w:rPr>
        <w:t xml:space="preserve">- </w:t>
      </w:r>
      <w:r w:rsidR="00EC12D6" w:rsidRPr="00EC12D6">
        <w:rPr>
          <w:rFonts w:ascii="Arial" w:hAnsi="Arial" w:cs="Arial"/>
          <w:sz w:val="24"/>
          <w:szCs w:val="24"/>
        </w:rPr>
        <w:t>27 223,24</w:t>
      </w:r>
      <w:r w:rsidRPr="00EC12D6">
        <w:rPr>
          <w:rFonts w:ascii="Arial" w:hAnsi="Arial" w:cs="Arial"/>
          <w:sz w:val="24"/>
          <w:szCs w:val="24"/>
        </w:rPr>
        <w:t xml:space="preserve"> рублей, увеличение на </w:t>
      </w:r>
      <w:r w:rsidR="00EC12D6" w:rsidRPr="00EC12D6">
        <w:rPr>
          <w:rFonts w:ascii="Arial" w:hAnsi="Arial" w:cs="Arial"/>
          <w:sz w:val="24"/>
          <w:szCs w:val="24"/>
        </w:rPr>
        <w:t>18,5</w:t>
      </w:r>
      <w:r w:rsidR="000D0A97" w:rsidRPr="00EC12D6">
        <w:rPr>
          <w:rFonts w:ascii="Arial" w:hAnsi="Arial" w:cs="Arial"/>
          <w:sz w:val="24"/>
          <w:szCs w:val="24"/>
        </w:rPr>
        <w:t>%;</w:t>
      </w:r>
    </w:p>
    <w:p w:rsidR="00A973D6" w:rsidRPr="00EC12D6" w:rsidRDefault="00A973D6" w:rsidP="009451CB">
      <w:pPr>
        <w:pStyle w:val="a3"/>
        <w:tabs>
          <w:tab w:val="left" w:pos="89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EC12D6">
        <w:rPr>
          <w:rFonts w:ascii="Arial" w:hAnsi="Arial" w:cs="Arial"/>
          <w:sz w:val="24"/>
          <w:szCs w:val="24"/>
        </w:rPr>
        <w:t xml:space="preserve">педагогических работников дошкольных образовательных учреждений </w:t>
      </w:r>
      <w:r w:rsidR="00EC12D6">
        <w:rPr>
          <w:rFonts w:ascii="Arial" w:hAnsi="Arial" w:cs="Arial"/>
          <w:sz w:val="24"/>
          <w:szCs w:val="24"/>
        </w:rPr>
        <w:t>30 494,90</w:t>
      </w:r>
      <w:r w:rsidRPr="00EC12D6">
        <w:rPr>
          <w:rFonts w:ascii="Arial" w:hAnsi="Arial" w:cs="Arial"/>
          <w:sz w:val="24"/>
          <w:szCs w:val="24"/>
        </w:rPr>
        <w:t xml:space="preserve"> рублей, в 20</w:t>
      </w:r>
      <w:r w:rsidR="00EC12D6">
        <w:rPr>
          <w:rFonts w:ascii="Arial" w:hAnsi="Arial" w:cs="Arial"/>
          <w:sz w:val="24"/>
          <w:szCs w:val="24"/>
        </w:rPr>
        <w:t>20</w:t>
      </w:r>
      <w:r w:rsidRPr="00EC12D6">
        <w:rPr>
          <w:rFonts w:ascii="Arial" w:hAnsi="Arial" w:cs="Arial"/>
          <w:sz w:val="24"/>
          <w:szCs w:val="24"/>
        </w:rPr>
        <w:t xml:space="preserve"> г.-</w:t>
      </w:r>
      <w:r w:rsidR="00EC12D6">
        <w:rPr>
          <w:rFonts w:ascii="Arial" w:hAnsi="Arial" w:cs="Arial"/>
          <w:sz w:val="24"/>
          <w:szCs w:val="24"/>
        </w:rPr>
        <w:t>23 807,27</w:t>
      </w:r>
      <w:r w:rsidRPr="00EC12D6">
        <w:rPr>
          <w:rFonts w:ascii="Arial" w:hAnsi="Arial" w:cs="Arial"/>
          <w:sz w:val="24"/>
          <w:szCs w:val="24"/>
        </w:rPr>
        <w:t xml:space="preserve"> рублей, увеличение на </w:t>
      </w:r>
      <w:r w:rsidR="00EC12D6">
        <w:rPr>
          <w:rFonts w:ascii="Arial" w:hAnsi="Arial" w:cs="Arial"/>
          <w:sz w:val="24"/>
          <w:szCs w:val="24"/>
        </w:rPr>
        <w:t>28,1</w:t>
      </w:r>
      <w:r w:rsidR="000D0A97" w:rsidRPr="00EC12D6">
        <w:rPr>
          <w:rFonts w:ascii="Arial" w:hAnsi="Arial" w:cs="Arial"/>
          <w:sz w:val="24"/>
          <w:szCs w:val="24"/>
        </w:rPr>
        <w:t xml:space="preserve"> %;</w:t>
      </w:r>
    </w:p>
    <w:p w:rsidR="00A973D6" w:rsidRPr="00EC12D6" w:rsidRDefault="00A973D6" w:rsidP="009451CB">
      <w:pPr>
        <w:pStyle w:val="a3"/>
        <w:tabs>
          <w:tab w:val="left" w:pos="89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EC12D6">
        <w:rPr>
          <w:rFonts w:ascii="Arial" w:hAnsi="Arial" w:cs="Arial"/>
          <w:sz w:val="24"/>
          <w:szCs w:val="24"/>
        </w:rPr>
        <w:t xml:space="preserve">работников дополнительного образования – </w:t>
      </w:r>
      <w:r w:rsidR="00EC12D6">
        <w:rPr>
          <w:rFonts w:ascii="Arial" w:hAnsi="Arial" w:cs="Arial"/>
          <w:sz w:val="24"/>
          <w:szCs w:val="24"/>
        </w:rPr>
        <w:t>30 987,28</w:t>
      </w:r>
      <w:r w:rsidRPr="00EC12D6">
        <w:rPr>
          <w:rFonts w:ascii="Arial" w:hAnsi="Arial" w:cs="Arial"/>
          <w:sz w:val="24"/>
          <w:szCs w:val="24"/>
        </w:rPr>
        <w:t xml:space="preserve"> рублей, в 20</w:t>
      </w:r>
      <w:r w:rsidR="00EC12D6">
        <w:rPr>
          <w:rFonts w:ascii="Arial" w:hAnsi="Arial" w:cs="Arial"/>
          <w:sz w:val="24"/>
          <w:szCs w:val="24"/>
        </w:rPr>
        <w:t>20</w:t>
      </w:r>
      <w:r w:rsidRPr="00EC12D6">
        <w:rPr>
          <w:rFonts w:ascii="Arial" w:hAnsi="Arial" w:cs="Arial"/>
          <w:sz w:val="24"/>
          <w:szCs w:val="24"/>
        </w:rPr>
        <w:t xml:space="preserve"> г. – </w:t>
      </w:r>
      <w:r w:rsidR="00EC12D6">
        <w:rPr>
          <w:rFonts w:ascii="Arial" w:hAnsi="Arial" w:cs="Arial"/>
          <w:sz w:val="24"/>
          <w:szCs w:val="24"/>
        </w:rPr>
        <w:t>29 549,02</w:t>
      </w:r>
      <w:r w:rsidRPr="00EC12D6">
        <w:rPr>
          <w:rFonts w:ascii="Arial" w:hAnsi="Arial" w:cs="Arial"/>
          <w:sz w:val="24"/>
          <w:szCs w:val="24"/>
        </w:rPr>
        <w:t xml:space="preserve"> рублей, увеличение на</w:t>
      </w:r>
      <w:r w:rsidR="000D0A97" w:rsidRPr="00EC12D6">
        <w:rPr>
          <w:rFonts w:ascii="Arial" w:hAnsi="Arial" w:cs="Arial"/>
          <w:sz w:val="24"/>
          <w:szCs w:val="24"/>
        </w:rPr>
        <w:t xml:space="preserve"> 13,2 %;</w:t>
      </w:r>
    </w:p>
    <w:p w:rsidR="00A973D6" w:rsidRDefault="00A973D6" w:rsidP="009451CB">
      <w:pPr>
        <w:pStyle w:val="a3"/>
        <w:tabs>
          <w:tab w:val="left" w:pos="89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EC12D6">
        <w:rPr>
          <w:rFonts w:ascii="Arial" w:hAnsi="Arial" w:cs="Arial"/>
          <w:sz w:val="24"/>
          <w:szCs w:val="24"/>
        </w:rPr>
        <w:t xml:space="preserve">работников учреждений культуры </w:t>
      </w:r>
      <w:r w:rsidRPr="002B517F">
        <w:rPr>
          <w:rFonts w:ascii="Arial" w:hAnsi="Arial" w:cs="Arial"/>
          <w:sz w:val="24"/>
          <w:szCs w:val="24"/>
        </w:rPr>
        <w:t xml:space="preserve">– </w:t>
      </w:r>
      <w:r w:rsidR="002B517F" w:rsidRPr="002B517F">
        <w:rPr>
          <w:rFonts w:ascii="Arial" w:hAnsi="Arial" w:cs="Arial"/>
          <w:sz w:val="24"/>
          <w:szCs w:val="24"/>
        </w:rPr>
        <w:t>23 532,0</w:t>
      </w:r>
      <w:r w:rsidRPr="002B517F">
        <w:rPr>
          <w:rFonts w:ascii="Arial" w:hAnsi="Arial" w:cs="Arial"/>
          <w:sz w:val="24"/>
          <w:szCs w:val="24"/>
        </w:rPr>
        <w:t xml:space="preserve"> рублей, </w:t>
      </w:r>
      <w:r w:rsidRPr="00EC12D6">
        <w:rPr>
          <w:rFonts w:ascii="Arial" w:hAnsi="Arial" w:cs="Arial"/>
          <w:sz w:val="24"/>
          <w:szCs w:val="24"/>
        </w:rPr>
        <w:t>в 20</w:t>
      </w:r>
      <w:r w:rsidR="00EC12D6" w:rsidRPr="00EC12D6">
        <w:rPr>
          <w:rFonts w:ascii="Arial" w:hAnsi="Arial" w:cs="Arial"/>
          <w:sz w:val="24"/>
          <w:szCs w:val="24"/>
        </w:rPr>
        <w:t>20</w:t>
      </w:r>
      <w:r w:rsidRPr="00EC12D6">
        <w:rPr>
          <w:rFonts w:ascii="Arial" w:hAnsi="Arial" w:cs="Arial"/>
          <w:sz w:val="24"/>
          <w:szCs w:val="24"/>
        </w:rPr>
        <w:t xml:space="preserve"> г. – </w:t>
      </w:r>
      <w:r w:rsidR="002B517F">
        <w:rPr>
          <w:rFonts w:ascii="Arial" w:hAnsi="Arial" w:cs="Arial"/>
          <w:sz w:val="24"/>
          <w:szCs w:val="24"/>
        </w:rPr>
        <w:t xml:space="preserve">20 600,14 </w:t>
      </w:r>
      <w:r w:rsidRPr="00EC12D6">
        <w:rPr>
          <w:rFonts w:ascii="Arial" w:hAnsi="Arial" w:cs="Arial"/>
          <w:sz w:val="24"/>
          <w:szCs w:val="24"/>
        </w:rPr>
        <w:t xml:space="preserve">рублей, увеличение </w:t>
      </w:r>
      <w:r w:rsidR="002B517F">
        <w:rPr>
          <w:rFonts w:ascii="Arial" w:hAnsi="Arial" w:cs="Arial"/>
          <w:sz w:val="24"/>
          <w:szCs w:val="24"/>
        </w:rPr>
        <w:t>на 14,</w:t>
      </w:r>
      <w:r w:rsidR="002B517F" w:rsidRPr="002B517F">
        <w:rPr>
          <w:rFonts w:ascii="Arial" w:hAnsi="Arial" w:cs="Arial"/>
          <w:sz w:val="24"/>
          <w:szCs w:val="24"/>
        </w:rPr>
        <w:t>2</w:t>
      </w:r>
      <w:r w:rsidR="000D0A97" w:rsidRPr="002B517F">
        <w:rPr>
          <w:rFonts w:ascii="Arial" w:hAnsi="Arial" w:cs="Arial"/>
          <w:sz w:val="24"/>
          <w:szCs w:val="24"/>
        </w:rPr>
        <w:t xml:space="preserve"> %.</w:t>
      </w:r>
    </w:p>
    <w:p w:rsidR="00EF68BA" w:rsidRDefault="00EF68BA" w:rsidP="009451CB">
      <w:pPr>
        <w:pStyle w:val="a3"/>
        <w:tabs>
          <w:tab w:val="left" w:pos="89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EF68BA" w:rsidRPr="00722EF1" w:rsidRDefault="00EF68BA" w:rsidP="00EF68BA">
      <w:pPr>
        <w:pStyle w:val="a3"/>
        <w:numPr>
          <w:ilvl w:val="0"/>
          <w:numId w:val="1"/>
        </w:numPr>
        <w:spacing w:after="0" w:line="240" w:lineRule="auto"/>
        <w:ind w:left="284" w:firstLine="3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Осуществление </w:t>
      </w:r>
      <w:r w:rsidR="00247EE5">
        <w:rPr>
          <w:rFonts w:ascii="Arial" w:hAnsi="Arial" w:cs="Arial"/>
          <w:b/>
          <w:sz w:val="24"/>
          <w:szCs w:val="24"/>
        </w:rPr>
        <w:t>муниципального</w:t>
      </w:r>
      <w:r>
        <w:rPr>
          <w:rFonts w:ascii="Arial" w:hAnsi="Arial" w:cs="Arial"/>
          <w:b/>
          <w:sz w:val="24"/>
          <w:szCs w:val="24"/>
        </w:rPr>
        <w:t xml:space="preserve"> финансового контроля</w:t>
      </w:r>
    </w:p>
    <w:p w:rsidR="00EF68BA" w:rsidRPr="000D0A97" w:rsidRDefault="00EF68BA" w:rsidP="009451CB">
      <w:pPr>
        <w:pStyle w:val="a3"/>
        <w:tabs>
          <w:tab w:val="left" w:pos="890"/>
        </w:tabs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F91817" w:rsidRPr="00F91817" w:rsidRDefault="00F91817" w:rsidP="00F9181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91817">
        <w:rPr>
          <w:rFonts w:ascii="Arial" w:hAnsi="Arial" w:cs="Arial"/>
          <w:sz w:val="24"/>
          <w:szCs w:val="24"/>
        </w:rPr>
        <w:t>За 2021 год финансовым отделом администрации Порецкого района проведено 8 проверок, в том числе 7 проверок по плану, 1 внеплановая проверка по обращению Прокуратуры Порецкого района Чувашской Республики.</w:t>
      </w:r>
    </w:p>
    <w:p w:rsidR="00F91817" w:rsidRPr="00F91817" w:rsidRDefault="0086132B" w:rsidP="00F9181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1817" w:rsidRPr="00F91817">
        <w:rPr>
          <w:rFonts w:ascii="Arial" w:hAnsi="Arial" w:cs="Arial"/>
          <w:sz w:val="24"/>
          <w:szCs w:val="24"/>
        </w:rPr>
        <w:t xml:space="preserve">Контрольные мероприятия осуществлялись в соответствии с федеральными стандартами, утвержденными нормативными правовыми актами Правительства Российской Федерации. </w:t>
      </w:r>
    </w:p>
    <w:p w:rsidR="00F91817" w:rsidRPr="00F91817" w:rsidRDefault="0086132B" w:rsidP="00F9181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1817" w:rsidRPr="00F91817">
        <w:rPr>
          <w:rFonts w:ascii="Arial" w:hAnsi="Arial" w:cs="Arial"/>
          <w:sz w:val="24"/>
          <w:szCs w:val="24"/>
        </w:rPr>
        <w:t>Проверки проведены в отношении 8 объектов контроля.</w:t>
      </w:r>
    </w:p>
    <w:p w:rsidR="00F91817" w:rsidRPr="00F91817" w:rsidRDefault="0086132B" w:rsidP="00F9181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1817" w:rsidRPr="00F91817">
        <w:rPr>
          <w:rFonts w:ascii="Arial" w:hAnsi="Arial" w:cs="Arial"/>
          <w:sz w:val="24"/>
          <w:szCs w:val="24"/>
        </w:rPr>
        <w:t>По плану проведены следующие контрольные мероприятия:</w:t>
      </w:r>
    </w:p>
    <w:p w:rsidR="00F91817" w:rsidRPr="00F91817" w:rsidRDefault="0086132B" w:rsidP="00F9181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1817" w:rsidRPr="00F91817">
        <w:rPr>
          <w:rFonts w:ascii="Arial" w:hAnsi="Arial" w:cs="Arial"/>
          <w:sz w:val="24"/>
          <w:szCs w:val="24"/>
        </w:rPr>
        <w:t>- проверка составления и исполнения плана финансово – хозяйственной деятельности образовательных учреждений Порецкого района Чувашской Республики;</w:t>
      </w:r>
    </w:p>
    <w:p w:rsidR="00F91817" w:rsidRPr="00F91817" w:rsidRDefault="0086132B" w:rsidP="00F9181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1817" w:rsidRPr="00F91817">
        <w:rPr>
          <w:rFonts w:ascii="Arial" w:hAnsi="Arial" w:cs="Arial"/>
          <w:sz w:val="24"/>
          <w:szCs w:val="24"/>
        </w:rPr>
        <w:t>- проверки составления и исполнения смет доходов и расходов, эффективного и целевого использования средств бюджетов сельских поселений.</w:t>
      </w:r>
    </w:p>
    <w:p w:rsidR="00F91817" w:rsidRPr="00F91817" w:rsidRDefault="0086132B" w:rsidP="00F9181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1817" w:rsidRPr="00F91817">
        <w:rPr>
          <w:rFonts w:ascii="Arial" w:hAnsi="Arial" w:cs="Arial"/>
          <w:sz w:val="24"/>
          <w:szCs w:val="24"/>
        </w:rPr>
        <w:t>Внеплановая проверка проведена по обращению:</w:t>
      </w:r>
    </w:p>
    <w:p w:rsidR="00F91817" w:rsidRPr="00F91817" w:rsidRDefault="0086132B" w:rsidP="00F9181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1817" w:rsidRPr="00F91817">
        <w:rPr>
          <w:rFonts w:ascii="Arial" w:hAnsi="Arial" w:cs="Arial"/>
          <w:sz w:val="24"/>
          <w:szCs w:val="24"/>
        </w:rPr>
        <w:t xml:space="preserve">- Прокуратуры Порецкого района Чувашской Республики на предмет проверки эффективности и законности финансово-хозяйственной деятельности МУП «Объединение предприятий ЖКХ Порецкого района» за 2018-2020 годы, особое внимание уделив законности заключаемых руководителем договоров и </w:t>
      </w:r>
      <w:r w:rsidR="00F91817" w:rsidRPr="00F91817">
        <w:rPr>
          <w:rFonts w:ascii="Arial" w:hAnsi="Arial" w:cs="Arial"/>
          <w:sz w:val="24"/>
          <w:szCs w:val="24"/>
        </w:rPr>
        <w:lastRenderedPageBreak/>
        <w:t>сделок, а также премирования руководителя и выплаты ему материальной помощи.</w:t>
      </w:r>
    </w:p>
    <w:p w:rsidR="00F91817" w:rsidRPr="00F91817" w:rsidRDefault="0086132B" w:rsidP="00F9181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1817" w:rsidRPr="00F91817">
        <w:rPr>
          <w:rFonts w:ascii="Arial" w:hAnsi="Arial" w:cs="Arial"/>
          <w:sz w:val="24"/>
          <w:szCs w:val="24"/>
        </w:rPr>
        <w:t xml:space="preserve">Объем проверенных средств составляет </w:t>
      </w:r>
      <w:r>
        <w:rPr>
          <w:rFonts w:ascii="Arial" w:hAnsi="Arial" w:cs="Arial"/>
          <w:sz w:val="24"/>
          <w:szCs w:val="24"/>
        </w:rPr>
        <w:t>476 896,0 тыс.</w:t>
      </w:r>
      <w:r w:rsidR="00F91817" w:rsidRPr="00F91817">
        <w:rPr>
          <w:rFonts w:ascii="Arial" w:hAnsi="Arial" w:cs="Arial"/>
          <w:sz w:val="24"/>
          <w:szCs w:val="24"/>
        </w:rPr>
        <w:t xml:space="preserve"> рублей.</w:t>
      </w:r>
    </w:p>
    <w:p w:rsidR="00F91817" w:rsidRPr="00F91817" w:rsidRDefault="0086132B" w:rsidP="00F9181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1817" w:rsidRPr="00F91817">
        <w:rPr>
          <w:rFonts w:ascii="Arial" w:hAnsi="Arial" w:cs="Arial"/>
          <w:sz w:val="24"/>
          <w:szCs w:val="24"/>
        </w:rPr>
        <w:t>Количество контрольных мероприятий, которыми выявлены финансовые нарушения 7 (семь).</w:t>
      </w:r>
    </w:p>
    <w:p w:rsidR="00F91817" w:rsidRPr="00F91817" w:rsidRDefault="0086132B" w:rsidP="00F9181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1817" w:rsidRPr="00F91817">
        <w:rPr>
          <w:rFonts w:ascii="Arial" w:hAnsi="Arial" w:cs="Arial"/>
          <w:sz w:val="24"/>
          <w:szCs w:val="24"/>
        </w:rPr>
        <w:t>Сумма выявленных бюджетных и иных финансовых нарушений со средствами бюджета муниципального образования составляет 339</w:t>
      </w:r>
      <w:r>
        <w:rPr>
          <w:rFonts w:ascii="Arial" w:hAnsi="Arial" w:cs="Arial"/>
          <w:sz w:val="24"/>
          <w:szCs w:val="24"/>
        </w:rPr>
        <w:t>,2 тыс.</w:t>
      </w:r>
      <w:r w:rsidR="00F91817" w:rsidRPr="00F91817">
        <w:rPr>
          <w:rFonts w:ascii="Arial" w:hAnsi="Arial" w:cs="Arial"/>
          <w:sz w:val="24"/>
          <w:szCs w:val="24"/>
        </w:rPr>
        <w:t xml:space="preserve"> рублей, или 0,07% от объема проверенных средств.</w:t>
      </w:r>
    </w:p>
    <w:p w:rsidR="00F91817" w:rsidRPr="00F91817" w:rsidRDefault="0086132B" w:rsidP="00F9181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1817" w:rsidRPr="00F91817">
        <w:rPr>
          <w:rFonts w:ascii="Arial" w:hAnsi="Arial" w:cs="Arial"/>
          <w:sz w:val="24"/>
          <w:szCs w:val="24"/>
        </w:rPr>
        <w:t>Из общей суммы выявленных финансовых нарушений:</w:t>
      </w:r>
    </w:p>
    <w:p w:rsidR="00F91817" w:rsidRPr="00F91817" w:rsidRDefault="0086132B" w:rsidP="00F9181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1817" w:rsidRPr="00F91817">
        <w:rPr>
          <w:rFonts w:ascii="Arial" w:hAnsi="Arial" w:cs="Arial"/>
          <w:sz w:val="24"/>
          <w:szCs w:val="24"/>
        </w:rPr>
        <w:t>- неэкономное, неэффективное и нерезультативное использование средств бюджета муниципального образования в сумме 78</w:t>
      </w:r>
      <w:r>
        <w:rPr>
          <w:rFonts w:ascii="Arial" w:hAnsi="Arial" w:cs="Arial"/>
          <w:sz w:val="24"/>
          <w:szCs w:val="24"/>
        </w:rPr>
        <w:t>,9 тыс.</w:t>
      </w:r>
      <w:r w:rsidR="00F91817" w:rsidRPr="00F91817">
        <w:rPr>
          <w:rFonts w:ascii="Arial" w:hAnsi="Arial" w:cs="Arial"/>
          <w:sz w:val="24"/>
          <w:szCs w:val="24"/>
        </w:rPr>
        <w:t xml:space="preserve"> рублей или 23,28 % от выявленных нарушений;</w:t>
      </w:r>
    </w:p>
    <w:p w:rsidR="00F91817" w:rsidRPr="00F91817" w:rsidRDefault="0086132B" w:rsidP="00F9181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1817" w:rsidRPr="00F91817">
        <w:rPr>
          <w:rFonts w:ascii="Arial" w:hAnsi="Arial" w:cs="Arial"/>
          <w:sz w:val="24"/>
          <w:szCs w:val="24"/>
        </w:rPr>
        <w:t>Неэффективное использование средств бюджета муниципального образования в сумме 78</w:t>
      </w:r>
      <w:r>
        <w:rPr>
          <w:rFonts w:ascii="Arial" w:hAnsi="Arial" w:cs="Arial"/>
          <w:sz w:val="24"/>
          <w:szCs w:val="24"/>
        </w:rPr>
        <w:t>,9 тыс.</w:t>
      </w:r>
      <w:r w:rsidR="00F91817" w:rsidRPr="00F91817">
        <w:rPr>
          <w:rFonts w:ascii="Arial" w:hAnsi="Arial" w:cs="Arial"/>
          <w:sz w:val="24"/>
          <w:szCs w:val="24"/>
        </w:rPr>
        <w:t xml:space="preserve"> рублей в результате уплаты пеней и штрафов. </w:t>
      </w:r>
    </w:p>
    <w:p w:rsidR="00F91817" w:rsidRPr="00F91817" w:rsidRDefault="0086132B" w:rsidP="00F9181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1817" w:rsidRPr="00F91817">
        <w:rPr>
          <w:rFonts w:ascii="Arial" w:hAnsi="Arial" w:cs="Arial"/>
          <w:sz w:val="24"/>
          <w:szCs w:val="24"/>
        </w:rPr>
        <w:t>Нецелевое использование средств бюджета муниципального образования в общей сумме 152</w:t>
      </w:r>
      <w:r>
        <w:rPr>
          <w:rFonts w:ascii="Arial" w:hAnsi="Arial" w:cs="Arial"/>
          <w:sz w:val="24"/>
          <w:szCs w:val="24"/>
        </w:rPr>
        <w:t>,6 тыс.</w:t>
      </w:r>
      <w:r w:rsidR="00F91817" w:rsidRPr="00F91817">
        <w:rPr>
          <w:rFonts w:ascii="Arial" w:hAnsi="Arial" w:cs="Arial"/>
          <w:sz w:val="24"/>
          <w:szCs w:val="24"/>
        </w:rPr>
        <w:t xml:space="preserve"> рублей или 44,98% от выявленных нарушений.</w:t>
      </w:r>
    </w:p>
    <w:p w:rsidR="00F91817" w:rsidRPr="00F91817" w:rsidRDefault="0086132B" w:rsidP="00F9181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1817" w:rsidRPr="00F91817">
        <w:rPr>
          <w:rFonts w:ascii="Arial" w:hAnsi="Arial" w:cs="Arial"/>
          <w:sz w:val="24"/>
          <w:szCs w:val="24"/>
        </w:rPr>
        <w:t>По результатам контрольных мероприятий направлено 7 (семь) представлений об устранении выявленных финансовых нарушений в адрес проверяемых учреждений.</w:t>
      </w:r>
    </w:p>
    <w:p w:rsidR="00F91817" w:rsidRPr="00F91817" w:rsidRDefault="0086132B" w:rsidP="00F9181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1817" w:rsidRPr="00F91817">
        <w:rPr>
          <w:rFonts w:ascii="Arial" w:hAnsi="Arial" w:cs="Arial"/>
          <w:sz w:val="24"/>
          <w:szCs w:val="24"/>
        </w:rPr>
        <w:t>Материалы 7 (семи) контрольных мероприятий направлены в Прокуратуру Порецкого района Чувашской Республики для принятия мер прокурорского реагирования.</w:t>
      </w:r>
    </w:p>
    <w:p w:rsidR="00F91817" w:rsidRPr="00F91817" w:rsidRDefault="0086132B" w:rsidP="00F9181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1817" w:rsidRPr="00F91817">
        <w:rPr>
          <w:rFonts w:ascii="Arial" w:hAnsi="Arial" w:cs="Arial"/>
          <w:sz w:val="24"/>
          <w:szCs w:val="24"/>
        </w:rPr>
        <w:t>Число лиц, привлеченных к административной ответственности (объявлено замечаний) три, в том числе:</w:t>
      </w:r>
    </w:p>
    <w:p w:rsidR="00F91817" w:rsidRPr="00F91817" w:rsidRDefault="0086132B" w:rsidP="00F9181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1817" w:rsidRPr="00F91817">
        <w:rPr>
          <w:rFonts w:ascii="Arial" w:hAnsi="Arial" w:cs="Arial"/>
          <w:sz w:val="24"/>
          <w:szCs w:val="24"/>
        </w:rPr>
        <w:t>- ведущему бухгалтеру МКУ «ЦФХО» (приказ №32 от 30.03.2021);</w:t>
      </w:r>
    </w:p>
    <w:p w:rsidR="00F91817" w:rsidRPr="00F91817" w:rsidRDefault="0086132B" w:rsidP="00F9181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1817" w:rsidRPr="00F91817">
        <w:rPr>
          <w:rFonts w:ascii="Arial" w:hAnsi="Arial" w:cs="Arial"/>
          <w:sz w:val="24"/>
          <w:szCs w:val="24"/>
        </w:rPr>
        <w:t>- ведущему бухгалтеру МКУ «ЦФХО» (приказ №128 от 30.08.2021);</w:t>
      </w:r>
    </w:p>
    <w:p w:rsidR="00F91817" w:rsidRPr="00F91817" w:rsidRDefault="0086132B" w:rsidP="00F9181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1817" w:rsidRPr="00F91817">
        <w:rPr>
          <w:rFonts w:ascii="Arial" w:hAnsi="Arial" w:cs="Arial"/>
          <w:sz w:val="24"/>
          <w:szCs w:val="24"/>
        </w:rPr>
        <w:t>- ведущему бухгалтеру МКУ «ЦФХО» (приказ №128 от 30.08.2021).</w:t>
      </w:r>
    </w:p>
    <w:p w:rsidR="00F91817" w:rsidRPr="00F91817" w:rsidRDefault="0086132B" w:rsidP="00F9181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1817" w:rsidRPr="00F91817">
        <w:rPr>
          <w:rFonts w:ascii="Arial" w:hAnsi="Arial" w:cs="Arial"/>
          <w:sz w:val="24"/>
          <w:szCs w:val="24"/>
        </w:rPr>
        <w:t>Об устранении выявленных проверками нарушений, учреждения  представляют информацию с приложением копий документов.</w:t>
      </w:r>
    </w:p>
    <w:p w:rsidR="00F91817" w:rsidRPr="00F91817" w:rsidRDefault="0086132B" w:rsidP="00F9181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1817" w:rsidRPr="00F91817">
        <w:rPr>
          <w:rFonts w:ascii="Arial" w:hAnsi="Arial" w:cs="Arial"/>
          <w:sz w:val="24"/>
          <w:szCs w:val="24"/>
        </w:rPr>
        <w:t>Финансовым отделом администрации Порецкого района продолжается контроль за устранением нарушений, выявленных в 2021 году.</w:t>
      </w:r>
    </w:p>
    <w:p w:rsidR="00F91817" w:rsidRPr="00F91817" w:rsidRDefault="00F91817" w:rsidP="00F91817">
      <w:pPr>
        <w:pStyle w:val="a6"/>
        <w:jc w:val="both"/>
        <w:rPr>
          <w:rFonts w:ascii="Arial" w:hAnsi="Arial" w:cs="Arial"/>
          <w:sz w:val="24"/>
          <w:szCs w:val="24"/>
        </w:rPr>
      </w:pPr>
      <w:r w:rsidRPr="00F91817">
        <w:rPr>
          <w:rFonts w:ascii="Arial" w:hAnsi="Arial" w:cs="Arial"/>
          <w:b/>
          <w:sz w:val="24"/>
          <w:szCs w:val="24"/>
        </w:rPr>
        <w:tab/>
      </w:r>
      <w:r w:rsidRPr="00F91817">
        <w:rPr>
          <w:rFonts w:ascii="Arial" w:hAnsi="Arial" w:cs="Arial"/>
          <w:sz w:val="24"/>
          <w:szCs w:val="24"/>
        </w:rPr>
        <w:t>Для улучшения результатов работы рекомендовано изучать нормативные и инструктивные материалы. Главным распорядителям, получателям средств местного бюджета рекомендовано усилить внутренний финансовый контроль за подведомственными учреждениями и обсуждению выявленных типичных ошибок по итогам контрольных мероприятий.</w:t>
      </w:r>
    </w:p>
    <w:p w:rsidR="00F91817" w:rsidRPr="00F91817" w:rsidRDefault="0086132B" w:rsidP="00F9181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1817" w:rsidRPr="00F91817">
        <w:rPr>
          <w:rFonts w:ascii="Arial" w:hAnsi="Arial" w:cs="Arial"/>
          <w:sz w:val="24"/>
          <w:szCs w:val="24"/>
        </w:rPr>
        <w:t>В соответствии с соглашением о сотрудничестве материалы всех контрольных мероприятий направляются в Прокуратуру Порецкого района Чувашской Республики.</w:t>
      </w:r>
    </w:p>
    <w:p w:rsidR="00F91817" w:rsidRPr="00F91817" w:rsidRDefault="0086132B" w:rsidP="00F91817">
      <w:pPr>
        <w:pStyle w:val="a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1817" w:rsidRPr="00F91817">
        <w:rPr>
          <w:rFonts w:ascii="Arial" w:hAnsi="Arial" w:cs="Arial"/>
          <w:sz w:val="24"/>
          <w:szCs w:val="24"/>
        </w:rPr>
        <w:t>Уведомления о применении бюджетных мер принуждения не направлялись. Решения органа внутреннего муниципального финансового контроля объектами контроля в судебном порядке не обжаловались.</w:t>
      </w:r>
    </w:p>
    <w:p w:rsidR="00EF68BA" w:rsidRDefault="00EF68BA" w:rsidP="00D83C29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EF68BA" w:rsidRPr="00247EE5" w:rsidRDefault="00EF68BA" w:rsidP="00EF68BA">
      <w:pPr>
        <w:pStyle w:val="a6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722EF1">
        <w:rPr>
          <w:rFonts w:ascii="Arial" w:hAnsi="Arial" w:cs="Arial"/>
          <w:b/>
          <w:sz w:val="24"/>
          <w:szCs w:val="24"/>
        </w:rPr>
        <w:t>Обеспечение открытости бюджетных данных</w:t>
      </w:r>
    </w:p>
    <w:p w:rsidR="00247EE5" w:rsidRPr="00EF68BA" w:rsidRDefault="00247EE5" w:rsidP="00247EE5">
      <w:pPr>
        <w:pStyle w:val="a6"/>
        <w:ind w:left="1070"/>
        <w:rPr>
          <w:rFonts w:ascii="Arial" w:hAnsi="Arial" w:cs="Arial"/>
          <w:sz w:val="24"/>
          <w:szCs w:val="24"/>
        </w:rPr>
      </w:pPr>
    </w:p>
    <w:p w:rsidR="00EF68BA" w:rsidRPr="00D83C29" w:rsidRDefault="00247EE5" w:rsidP="00247EE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Порецкий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</w:t>
      </w:r>
      <w:r w:rsidRPr="00722EF1">
        <w:rPr>
          <w:rFonts w:ascii="Arial" w:hAnsi="Arial" w:cs="Arial"/>
          <w:sz w:val="24"/>
          <w:szCs w:val="24"/>
        </w:rPr>
        <w:t xml:space="preserve">, придерживаясь установленного Бюджетным кодексом Российской Федерации принципа прозрачности (открытости) </w:t>
      </w:r>
      <w:r>
        <w:rPr>
          <w:rFonts w:ascii="Arial" w:hAnsi="Arial" w:cs="Arial"/>
          <w:sz w:val="24"/>
          <w:szCs w:val="24"/>
        </w:rPr>
        <w:t>информацию</w:t>
      </w:r>
      <w:r w:rsidRPr="00722EF1">
        <w:rPr>
          <w:rFonts w:ascii="Arial" w:hAnsi="Arial" w:cs="Arial"/>
          <w:sz w:val="24"/>
          <w:szCs w:val="24"/>
        </w:rPr>
        <w:t xml:space="preserve"> о проекте бюджета, утвержденном бюджете, внесении изменений в него и годовом отчете об исполнении бюджета размещает на </w:t>
      </w:r>
      <w:r>
        <w:rPr>
          <w:rFonts w:ascii="Arial" w:hAnsi="Arial" w:cs="Arial"/>
          <w:sz w:val="24"/>
          <w:szCs w:val="24"/>
        </w:rPr>
        <w:t xml:space="preserve">официальном сайте администрации Порецкого </w:t>
      </w:r>
      <w:r w:rsidRPr="00722E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района, </w:t>
      </w:r>
      <w:r w:rsidRPr="00722EF1">
        <w:rPr>
          <w:rFonts w:ascii="Arial" w:hAnsi="Arial" w:cs="Arial"/>
          <w:sz w:val="24"/>
          <w:szCs w:val="24"/>
        </w:rPr>
        <w:t>в понятной для широкого круга граждан форме.</w:t>
      </w:r>
    </w:p>
    <w:p w:rsidR="00D947AB" w:rsidRPr="00D947AB" w:rsidRDefault="00D947AB" w:rsidP="00D947A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947AB">
        <w:rPr>
          <w:rFonts w:ascii="Arial" w:hAnsi="Arial" w:cs="Arial"/>
          <w:sz w:val="24"/>
          <w:szCs w:val="24"/>
        </w:rPr>
        <w:t>Основными задачами на 20</w:t>
      </w:r>
      <w:r>
        <w:rPr>
          <w:rFonts w:ascii="Arial" w:hAnsi="Arial" w:cs="Arial"/>
          <w:sz w:val="24"/>
          <w:szCs w:val="24"/>
        </w:rPr>
        <w:t>2</w:t>
      </w:r>
      <w:r w:rsidR="00F91817">
        <w:rPr>
          <w:rFonts w:ascii="Arial" w:hAnsi="Arial" w:cs="Arial"/>
          <w:sz w:val="24"/>
          <w:szCs w:val="24"/>
        </w:rPr>
        <w:t>2</w:t>
      </w:r>
      <w:r w:rsidRPr="00D947AB">
        <w:rPr>
          <w:rFonts w:ascii="Arial" w:hAnsi="Arial" w:cs="Arial"/>
          <w:sz w:val="24"/>
          <w:szCs w:val="24"/>
        </w:rPr>
        <w:t xml:space="preserve"> год являются:</w:t>
      </w:r>
    </w:p>
    <w:p w:rsidR="00D947AB" w:rsidRPr="00D947AB" w:rsidRDefault="00D947AB" w:rsidP="00D947A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947AB">
        <w:rPr>
          <w:rFonts w:ascii="Arial" w:hAnsi="Arial" w:cs="Arial"/>
          <w:sz w:val="24"/>
          <w:szCs w:val="24"/>
        </w:rPr>
        <w:lastRenderedPageBreak/>
        <w:t>формирование условий для ускорения темпов экономического роста и роста доходного потенциала консолидированного бюджета Порецкого района Чувашской Республики;</w:t>
      </w:r>
    </w:p>
    <w:p w:rsidR="00D947AB" w:rsidRPr="00D947AB" w:rsidRDefault="00D947AB" w:rsidP="00D947A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947AB">
        <w:rPr>
          <w:rFonts w:ascii="Arial" w:hAnsi="Arial" w:cs="Arial"/>
          <w:sz w:val="24"/>
          <w:szCs w:val="24"/>
        </w:rPr>
        <w:t>обеспечение долгосрочной устойчивости консолидированного бюджета Порецкого района Чувашской Республики, в том числе за счет повышения качества управления муниципальными финансами.</w:t>
      </w:r>
    </w:p>
    <w:p w:rsidR="00D947AB" w:rsidRPr="00D947AB" w:rsidRDefault="00D947AB" w:rsidP="00D947A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947AB">
        <w:rPr>
          <w:rFonts w:ascii="Arial" w:hAnsi="Arial" w:cs="Arial"/>
          <w:sz w:val="24"/>
          <w:szCs w:val="24"/>
        </w:rPr>
        <w:t>В 20</w:t>
      </w:r>
      <w:r>
        <w:rPr>
          <w:rFonts w:ascii="Arial" w:hAnsi="Arial" w:cs="Arial"/>
          <w:sz w:val="24"/>
          <w:szCs w:val="24"/>
        </w:rPr>
        <w:t>2</w:t>
      </w:r>
      <w:r w:rsidR="00F91817">
        <w:rPr>
          <w:rFonts w:ascii="Arial" w:hAnsi="Arial" w:cs="Arial"/>
          <w:sz w:val="24"/>
          <w:szCs w:val="24"/>
        </w:rPr>
        <w:t>2</w:t>
      </w:r>
      <w:r w:rsidRPr="00D947AB">
        <w:rPr>
          <w:rFonts w:ascii="Arial" w:hAnsi="Arial" w:cs="Arial"/>
          <w:sz w:val="24"/>
          <w:szCs w:val="24"/>
        </w:rPr>
        <w:t xml:space="preserve"> году должна быть продолжена работа по повышению открытости и понятности бюджетов. Её конечной целью являются повышение информационной открытости и понятности действий органов местного самоуправления Порецкого района, обеспечение прозрачности и подотчетности бюджетных расходов, закупок и инвестиций, реализация эффективной системы контроля.</w:t>
      </w:r>
    </w:p>
    <w:p w:rsidR="00D947AB" w:rsidRPr="00D947AB" w:rsidRDefault="00D947AB" w:rsidP="00D947AB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D947AB">
        <w:rPr>
          <w:rFonts w:ascii="Arial" w:hAnsi="Arial" w:cs="Arial"/>
          <w:sz w:val="24"/>
          <w:szCs w:val="24"/>
        </w:rPr>
        <w:t>Развитие данного направления будет продолжено в рамках реализации "Электронного бюджета".</w:t>
      </w:r>
    </w:p>
    <w:p w:rsidR="00F7152C" w:rsidRPr="00F7152C" w:rsidRDefault="00F7152C" w:rsidP="00F7152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7152C" w:rsidRPr="00F7152C" w:rsidSect="00263C6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23D51"/>
    <w:multiLevelType w:val="hybridMultilevel"/>
    <w:tmpl w:val="1BF4CF56"/>
    <w:lvl w:ilvl="0" w:tplc="E44028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E7532B"/>
    <w:multiLevelType w:val="hybridMultilevel"/>
    <w:tmpl w:val="B63CCE4E"/>
    <w:lvl w:ilvl="0" w:tplc="E20692D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C73455"/>
    <w:rsid w:val="000234A8"/>
    <w:rsid w:val="00023D8E"/>
    <w:rsid w:val="00060BA4"/>
    <w:rsid w:val="00073693"/>
    <w:rsid w:val="00081F92"/>
    <w:rsid w:val="00091965"/>
    <w:rsid w:val="000968F7"/>
    <w:rsid w:val="000A1655"/>
    <w:rsid w:val="000B62EF"/>
    <w:rsid w:val="000C45D5"/>
    <w:rsid w:val="000C6ACE"/>
    <w:rsid w:val="000D0A97"/>
    <w:rsid w:val="00100849"/>
    <w:rsid w:val="00106A22"/>
    <w:rsid w:val="001110DF"/>
    <w:rsid w:val="00124D39"/>
    <w:rsid w:val="001614D3"/>
    <w:rsid w:val="00164ABA"/>
    <w:rsid w:val="00176987"/>
    <w:rsid w:val="001C5D1A"/>
    <w:rsid w:val="001F42F3"/>
    <w:rsid w:val="002307FB"/>
    <w:rsid w:val="00247EE5"/>
    <w:rsid w:val="00263C6D"/>
    <w:rsid w:val="002773D8"/>
    <w:rsid w:val="00281132"/>
    <w:rsid w:val="002A4498"/>
    <w:rsid w:val="002B517F"/>
    <w:rsid w:val="002F0926"/>
    <w:rsid w:val="003445C0"/>
    <w:rsid w:val="00350485"/>
    <w:rsid w:val="00382BF6"/>
    <w:rsid w:val="00385F96"/>
    <w:rsid w:val="003E4916"/>
    <w:rsid w:val="004017F6"/>
    <w:rsid w:val="0040220D"/>
    <w:rsid w:val="00424D32"/>
    <w:rsid w:val="00442194"/>
    <w:rsid w:val="0045286F"/>
    <w:rsid w:val="00460A7B"/>
    <w:rsid w:val="004A5733"/>
    <w:rsid w:val="004B4E6D"/>
    <w:rsid w:val="004D5208"/>
    <w:rsid w:val="004F0F09"/>
    <w:rsid w:val="00502B17"/>
    <w:rsid w:val="005375E3"/>
    <w:rsid w:val="005814AF"/>
    <w:rsid w:val="005C372A"/>
    <w:rsid w:val="005D4BCF"/>
    <w:rsid w:val="00634421"/>
    <w:rsid w:val="00636A26"/>
    <w:rsid w:val="00642D68"/>
    <w:rsid w:val="00725D39"/>
    <w:rsid w:val="00750173"/>
    <w:rsid w:val="00756C4E"/>
    <w:rsid w:val="00771A37"/>
    <w:rsid w:val="007D38EE"/>
    <w:rsid w:val="008153C1"/>
    <w:rsid w:val="008217A8"/>
    <w:rsid w:val="008412DA"/>
    <w:rsid w:val="0084330B"/>
    <w:rsid w:val="0086132B"/>
    <w:rsid w:val="00861850"/>
    <w:rsid w:val="0087320F"/>
    <w:rsid w:val="00885476"/>
    <w:rsid w:val="008C2725"/>
    <w:rsid w:val="008C6B6E"/>
    <w:rsid w:val="009105E7"/>
    <w:rsid w:val="0093453A"/>
    <w:rsid w:val="009451CB"/>
    <w:rsid w:val="0098200B"/>
    <w:rsid w:val="009A23C6"/>
    <w:rsid w:val="00A05921"/>
    <w:rsid w:val="00A11554"/>
    <w:rsid w:val="00A12F84"/>
    <w:rsid w:val="00A44E2A"/>
    <w:rsid w:val="00A819A7"/>
    <w:rsid w:val="00A85DDD"/>
    <w:rsid w:val="00A931AE"/>
    <w:rsid w:val="00A973D6"/>
    <w:rsid w:val="00AB2392"/>
    <w:rsid w:val="00AE5A9E"/>
    <w:rsid w:val="00AF3494"/>
    <w:rsid w:val="00B4501C"/>
    <w:rsid w:val="00B8182F"/>
    <w:rsid w:val="00B84717"/>
    <w:rsid w:val="00BA5889"/>
    <w:rsid w:val="00BC169E"/>
    <w:rsid w:val="00BC5740"/>
    <w:rsid w:val="00BF185D"/>
    <w:rsid w:val="00C40A39"/>
    <w:rsid w:val="00C73455"/>
    <w:rsid w:val="00C81A8A"/>
    <w:rsid w:val="00CB5A2A"/>
    <w:rsid w:val="00CB74F8"/>
    <w:rsid w:val="00CC0A50"/>
    <w:rsid w:val="00CD1E8E"/>
    <w:rsid w:val="00D83C29"/>
    <w:rsid w:val="00D947AB"/>
    <w:rsid w:val="00DA0CA5"/>
    <w:rsid w:val="00DC108F"/>
    <w:rsid w:val="00E05D4F"/>
    <w:rsid w:val="00E37AFC"/>
    <w:rsid w:val="00EA50F5"/>
    <w:rsid w:val="00EB2308"/>
    <w:rsid w:val="00EC12D6"/>
    <w:rsid w:val="00EC7253"/>
    <w:rsid w:val="00EF68BA"/>
    <w:rsid w:val="00F02D0E"/>
    <w:rsid w:val="00F16038"/>
    <w:rsid w:val="00F277C8"/>
    <w:rsid w:val="00F347DD"/>
    <w:rsid w:val="00F7152C"/>
    <w:rsid w:val="00F73F7D"/>
    <w:rsid w:val="00F91817"/>
    <w:rsid w:val="00FE00B7"/>
    <w:rsid w:val="00FE0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5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4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45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F7152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D947AB"/>
    <w:pPr>
      <w:spacing w:after="24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5088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8831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8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05887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0690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1" w:color="E6E6E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Microsoft_Office_PowerPoint1.sl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rotY val="333"/>
      <c:perspective val="30"/>
    </c:view3D>
    <c:plotArea>
      <c:layout>
        <c:manualLayout>
          <c:layoutTarget val="inner"/>
          <c:xMode val="edge"/>
          <c:yMode val="edge"/>
          <c:x val="5.2024734881199755E-2"/>
          <c:y val="0.35604280234201646"/>
          <c:w val="0.41518561923945846"/>
          <c:h val="0.619697537807777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9"/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Pt>
            <c:idx val="4"/>
            <c:spPr>
              <a:solidFill>
                <a:schemeClr val="bg1">
                  <a:lumMod val="75000"/>
                </a:schemeClr>
              </a:solidFill>
            </c:spPr>
          </c:dPt>
          <c:dPt>
            <c:idx val="5"/>
            <c:spPr>
              <a:solidFill>
                <a:srgbClr val="9966FF"/>
              </a:solidFill>
            </c:spPr>
          </c:dPt>
          <c:dPt>
            <c:idx val="6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7"/>
            <c:spPr>
              <a:solidFill>
                <a:schemeClr val="accent2">
                  <a:lumMod val="75000"/>
                </a:schemeClr>
              </a:solidFill>
            </c:spPr>
          </c:dPt>
          <c:dPt>
            <c:idx val="8"/>
            <c:spPr>
              <a:solidFill>
                <a:schemeClr val="accent6"/>
              </a:solidFill>
            </c:spPr>
          </c:dPt>
          <c:dPt>
            <c:idx val="9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1.4456499368922676E-3"/>
                  <c:y val="-6.882704089789482E-2"/>
                </c:manualLayout>
              </c:layout>
              <c:dLblPos val="bestFit"/>
              <c:showPercent val="1"/>
            </c:dLbl>
            <c:dLbl>
              <c:idx val="1"/>
              <c:layout>
                <c:manualLayout>
                  <c:x val="-2.1684749053383922E-2"/>
                  <c:y val="-4.731859061730314E-2"/>
                </c:manualLayout>
              </c:layout>
              <c:dLblPos val="bestFit"/>
              <c:showPercent val="1"/>
            </c:dLbl>
            <c:dLbl>
              <c:idx val="2"/>
              <c:layout>
                <c:manualLayout>
                  <c:x val="2.1684749053383998E-2"/>
                  <c:y val="-3.6564365477006866E-2"/>
                </c:manualLayout>
              </c:layout>
              <c:dLblPos val="bestFit"/>
              <c:showPercent val="1"/>
            </c:dLbl>
            <c:dLbl>
              <c:idx val="3"/>
              <c:layout>
                <c:manualLayout>
                  <c:x val="1.5902149305814954E-2"/>
                  <c:y val="-4.3016900561184304E-2"/>
                </c:manualLayout>
              </c:layout>
              <c:dLblPos val="bestFit"/>
              <c:showPercent val="1"/>
            </c:dLbl>
            <c:dLbl>
              <c:idx val="4"/>
              <c:layout>
                <c:manualLayout>
                  <c:x val="8.6738996213535507E-3"/>
                  <c:y val="-4.516774558924351E-2"/>
                </c:manualLayout>
              </c:layout>
              <c:dLblPos val="bestFit"/>
              <c:showPercent val="1"/>
            </c:dLbl>
            <c:dLbl>
              <c:idx val="8"/>
              <c:layout>
                <c:manualLayout>
                  <c:x val="-2.8912998737845159E-2"/>
                  <c:y val="-6.6676195869835572E-2"/>
                </c:manualLayout>
              </c:layout>
              <c:dLblPos val="bestFit"/>
              <c:showPercent val="1"/>
            </c:dLbl>
            <c:dLbl>
              <c:idx val="9"/>
              <c:layout>
                <c:manualLayout>
                  <c:x val="2.8912998737845156E-3"/>
                  <c:y val="-6.2374505813717354E-2"/>
                </c:manualLayout>
              </c:layout>
              <c:dLblPos val="bestFit"/>
              <c:showPercent val="1"/>
            </c:dLbl>
            <c:dLblPos val="outEnd"/>
            <c:showPercent val="1"/>
            <c:showLeaderLines val="1"/>
          </c:dLbls>
          <c:cat>
            <c:strRef>
              <c:f>Лист1!$A$2:$A$11</c:f>
              <c:strCache>
                <c:ptCount val="9"/>
                <c:pt idx="0">
                  <c:v>Общегосударственные расходы       60023,2 тыс.руб.</c:v>
                </c:pt>
                <c:pt idx="1">
                  <c:v>Национальная оборона                     1347,9тыс.руб.</c:v>
                </c:pt>
                <c:pt idx="2">
                  <c:v>Национальная безопасность и правоохранительная деятельность   6113,0 тыс.руб.</c:v>
                </c:pt>
                <c:pt idx="3">
                  <c:v>Национальная экономика               41995,80 тыс.руб.</c:v>
                </c:pt>
                <c:pt idx="4">
                  <c:v>Жилищно-коммунальное хозяйство 77806,2 тыс.руб.</c:v>
                </c:pt>
                <c:pt idx="5">
                  <c:v>Образование                                 192963,58 тыс.руб.</c:v>
                </c:pt>
                <c:pt idx="6">
                  <c:v>Культура, кинематография           46462,5 тыс.руб.</c:v>
                </c:pt>
                <c:pt idx="7">
                  <c:v>Социальная политика                     16449,3 тыс.руб.</c:v>
                </c:pt>
                <c:pt idx="8">
                  <c:v>Физическая культура и спорт         136,27 тыс.руб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60023.199999999997</c:v>
                </c:pt>
                <c:pt idx="1">
                  <c:v>1347.9</c:v>
                </c:pt>
                <c:pt idx="2">
                  <c:v>6113</c:v>
                </c:pt>
                <c:pt idx="3">
                  <c:v>41995.8</c:v>
                </c:pt>
                <c:pt idx="4">
                  <c:v>77806.2</c:v>
                </c:pt>
                <c:pt idx="5" formatCode="#,##0.00">
                  <c:v>192963.5</c:v>
                </c:pt>
                <c:pt idx="6">
                  <c:v>46462.5</c:v>
                </c:pt>
                <c:pt idx="7">
                  <c:v>16449.3</c:v>
                </c:pt>
                <c:pt idx="8">
                  <c:v>136.19999999999999</c:v>
                </c:pt>
              </c:numCache>
            </c:numRef>
          </c:val>
        </c:ser>
        <c:dLbls>
          <c:showVal val="1"/>
        </c:dLbls>
      </c:pie3DChart>
    </c:plotArea>
    <c:legend>
      <c:legendPos val="r"/>
      <c:legendEntry>
        <c:idx val="7"/>
        <c:txPr>
          <a:bodyPr/>
          <a:lstStyle/>
          <a:p>
            <a:pPr>
              <a:defRPr sz="800" spc="0" baseline="0"/>
            </a:pPr>
            <a:endParaRPr lang="ru-RU"/>
          </a:p>
        </c:txPr>
      </c:legendEntry>
      <c:legendEntry>
        <c:idx val="9"/>
        <c:delete val="1"/>
      </c:legendEntry>
      <c:layout>
        <c:manualLayout>
          <c:xMode val="edge"/>
          <c:yMode val="edge"/>
          <c:x val="0.52184791044801548"/>
          <c:y val="5.6299549094824666E-2"/>
          <c:w val="0.46374787660843225"/>
          <c:h val="0.92492125984251972"/>
        </c:manualLayout>
      </c:layout>
      <c:spPr>
        <a:ln>
          <a:noFill/>
        </a:ln>
      </c:spPr>
      <c:txPr>
        <a:bodyPr/>
        <a:lstStyle/>
        <a:p>
          <a:pPr>
            <a:defRPr sz="800" spc="0" baseline="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0528520694284366E-2"/>
          <c:y val="9.8053777011635784E-2"/>
          <c:w val="0.32353749916689795"/>
          <c:h val="0.6370607424072000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rgbClr val="FFFF00"/>
              </a:solidFill>
            </c:spPr>
          </c:dPt>
          <c:dPt>
            <c:idx val="1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2"/>
            <c:spPr>
              <a:solidFill>
                <a:srgbClr val="FF0000"/>
              </a:solidFill>
            </c:spPr>
          </c:dPt>
          <c:dLbls>
            <c:dLbl>
              <c:idx val="1"/>
              <c:layout>
                <c:manualLayout>
                  <c:x val="-1.3888888888889015E-2"/>
                  <c:y val="1.8325201625315646E-2"/>
                </c:manualLayout>
              </c:layout>
              <c:showPercent val="1"/>
            </c:dLbl>
            <c:dLbl>
              <c:idx val="2"/>
              <c:layout>
                <c:manualLayout>
                  <c:x val="-9.166666666666734E-2"/>
                  <c:y val="8.7553580773256728E-2"/>
                </c:manualLayout>
              </c:layout>
              <c:showPercent val="1"/>
            </c:dLbl>
            <c:dLbl>
              <c:idx val="3"/>
              <c:layout>
                <c:manualLayout>
                  <c:x val="-1.8055555555555561E-2"/>
                  <c:y val="8.1445340556958647E-3"/>
                </c:manualLayout>
              </c:layout>
              <c:showPercent val="1"/>
            </c:dLbl>
            <c:dLbl>
              <c:idx val="4"/>
              <c:layout>
                <c:manualLayout>
                  <c:x val="-8.4722222222222768E-2"/>
                  <c:y val="1.8325201625315625E-2"/>
                </c:manualLayout>
              </c:layout>
              <c:showPercent val="1"/>
            </c:dLbl>
            <c:dLbl>
              <c:idx val="5"/>
              <c:layout>
                <c:manualLayout>
                  <c:x val="-1.0960629921259873E-2"/>
                  <c:y val="-3.6650563576104821E-2"/>
                </c:manualLayout>
              </c:layout>
              <c:showPercent val="1"/>
            </c:dLbl>
            <c:dLbl>
              <c:idx val="6"/>
              <c:layout>
                <c:manualLayout>
                  <c:x val="-3.8888888888888862E-2"/>
                  <c:y val="-0.13438481191897955"/>
                </c:manualLayout>
              </c:layout>
              <c:showPercent val="1"/>
            </c:dLbl>
            <c:dLbl>
              <c:idx val="7"/>
              <c:layout>
                <c:manualLayout>
                  <c:x val="-3.4722222222222245E-2"/>
                  <c:y val="-0.16424767592193559"/>
                </c:manualLayout>
              </c:layout>
              <c:showPercent val="1"/>
            </c:dLbl>
            <c:dLbl>
              <c:idx val="8"/>
              <c:layout>
                <c:manualLayout>
                  <c:x val="3.0555555555555582E-2"/>
                  <c:y val="-0.15881841408606942"/>
                </c:manualLayout>
              </c:layout>
              <c:showPercent val="1"/>
            </c:dLbl>
            <c:dLbl>
              <c:idx val="9"/>
              <c:layout>
                <c:manualLayout>
                  <c:x val="-2.5000000000000001E-2"/>
                  <c:y val="-0.14729870816146601"/>
                </c:manualLayout>
              </c:layout>
              <c:showPercent val="1"/>
            </c:dLbl>
            <c:dLbl>
              <c:idx val="10"/>
              <c:layout>
                <c:manualLayout>
                  <c:x val="7.7777777777777779E-2"/>
                  <c:y val="-0.21379401896201441"/>
                </c:manualLayout>
              </c:layout>
              <c:showPercent val="1"/>
            </c:dLbl>
            <c:spPr>
              <a:scene3d>
                <a:camera prst="orthographicFront"/>
                <a:lightRig rig="threePt" dir="t"/>
              </a:scene3d>
              <a:sp3d>
                <a:bevelT w="165100" prst="coolSlant"/>
              </a:sp3d>
            </c:spPr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Лист1!$A$2:$A$11</c:f>
              <c:strCache>
                <c:ptCount val="3"/>
                <c:pt idx="0">
                  <c:v>Национальный проект "Образование"</c:v>
                </c:pt>
                <c:pt idx="1">
                  <c:v>Национальный проет "Жилье и городская среда"</c:v>
                </c:pt>
                <c:pt idx="2">
                  <c:v>Национальный проект "Культура"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2406883.7999999998</c:v>
                </c:pt>
                <c:pt idx="1">
                  <c:v>26516473.629999999</c:v>
                </c:pt>
                <c:pt idx="2">
                  <c:v>175000</c:v>
                </c:pt>
              </c:numCache>
            </c:numRef>
          </c:val>
        </c:ser>
        <c:dLbls>
          <c:showVal val="1"/>
        </c:dLbls>
        <c:firstSliceAng val="0"/>
        <c:holeSize val="50"/>
      </c:doughnutChart>
    </c:plotArea>
    <c:legend>
      <c:legendPos val="r"/>
      <c:legendEntry>
        <c:idx val="0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aseline="0"/>
            </a:pPr>
            <a:endParaRPr lang="ru-RU"/>
          </a:p>
        </c:txPr>
      </c:legendEntry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egendEntry>
        <c:idx val="9"/>
        <c:delete val="1"/>
      </c:legendEntry>
      <c:layout>
        <c:manualLayout>
          <c:xMode val="edge"/>
          <c:yMode val="edge"/>
          <c:x val="0.5079974102390804"/>
          <c:y val="0.17264716910386221"/>
          <c:w val="0.41793828371211877"/>
          <c:h val="0.60684739407574062"/>
        </c:manualLayout>
      </c:layout>
      <c:txPr>
        <a:bodyPr/>
        <a:lstStyle/>
        <a:p>
          <a:pPr>
            <a:defRPr sz="1600"/>
          </a:pPr>
          <a:endParaRPr lang="ru-RU"/>
        </a:p>
      </c:txPr>
    </c:legend>
    <c:plotVisOnly val="1"/>
  </c:chart>
  <c:txPr>
    <a:bodyPr/>
    <a:lstStyle/>
    <a:p>
      <a:pPr>
        <a:defRPr sz="1800"/>
      </a:pPr>
      <a:endParaRPr lang="ru-RU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0.04062</cdr:x>
      <cdr:y>0.06681</cdr:y>
    </cdr:from>
    <cdr:to>
      <cdr:x>0.51101</cdr:x>
      <cdr:y>0.20356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241300" y="203200"/>
          <a:ext cx="2794000" cy="415952"/>
        </a:xfrm>
        <a:prstGeom xmlns:a="http://schemas.openxmlformats.org/drawingml/2006/main" prst="roundRect">
          <a:avLst/>
        </a:prstGeom>
        <a:solidFill xmlns:a="http://schemas.openxmlformats.org/drawingml/2006/main">
          <a:srgbClr val="A7EA52">
            <a:lumMod val="40000"/>
            <a:lumOff val="60000"/>
          </a:srgbClr>
        </a:solidFill>
        <a:ln xmlns:a="http://schemas.openxmlformats.org/drawingml/2006/main" w="15875" cap="flat" cmpd="sng" algn="ctr">
          <a:solidFill>
            <a:srgbClr val="4E67C8">
              <a:shade val="50000"/>
              <a:shade val="75000"/>
              <a:satMod val="125000"/>
              <a:lumMod val="75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tlCol="0" anchor="ctr"/>
        <a:lstStyle xmlns:a="http://schemas.openxmlformats.org/drawingml/2006/main">
          <a:defPPr>
            <a:defRPr lang="ru-RU"/>
          </a:defPPr>
          <a:lvl1pPr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Trebuchet MS"/>
            </a:defRPr>
          </a:lvl1pPr>
          <a:lvl2pPr marL="4572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Trebuchet MS"/>
            </a:defRPr>
          </a:lvl2pPr>
          <a:lvl3pPr marL="9144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Trebuchet MS"/>
            </a:defRPr>
          </a:lvl3pPr>
          <a:lvl4pPr marL="13716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Trebuchet MS"/>
            </a:defRPr>
          </a:lvl4pPr>
          <a:lvl5pPr marL="1828800" algn="l" rtl="0" fontAlgn="base">
            <a:spcBef>
              <a:spcPct val="0"/>
            </a:spcBef>
            <a:spcAft>
              <a:spcPct val="0"/>
            </a:spcAft>
            <a:defRPr kern="1200">
              <a:solidFill>
                <a:sysClr val="window" lastClr="FFFFFF"/>
              </a:solidFill>
              <a:latin typeface="Trebuchet MS"/>
            </a:defRPr>
          </a:lvl5pPr>
          <a:lvl6pPr marL="2286000" algn="l" defTabSz="914400" rtl="0" eaLnBrk="1" latinLnBrk="0" hangingPunct="1">
            <a:defRPr kern="1200">
              <a:solidFill>
                <a:sysClr val="window" lastClr="FFFFFF"/>
              </a:solidFill>
              <a:latin typeface="Trebuchet MS"/>
            </a:defRPr>
          </a:lvl6pPr>
          <a:lvl7pPr marL="2743200" algn="l" defTabSz="914400" rtl="0" eaLnBrk="1" latinLnBrk="0" hangingPunct="1">
            <a:defRPr kern="1200">
              <a:solidFill>
                <a:sysClr val="window" lastClr="FFFFFF"/>
              </a:solidFill>
              <a:latin typeface="Trebuchet MS"/>
            </a:defRPr>
          </a:lvl7pPr>
          <a:lvl8pPr marL="3200400" algn="l" defTabSz="914400" rtl="0" eaLnBrk="1" latinLnBrk="0" hangingPunct="1">
            <a:defRPr kern="1200">
              <a:solidFill>
                <a:sysClr val="window" lastClr="FFFFFF"/>
              </a:solidFill>
              <a:latin typeface="Trebuchet MS"/>
            </a:defRPr>
          </a:lvl8pPr>
          <a:lvl9pPr marL="3657600" algn="l" defTabSz="914400" rtl="0" eaLnBrk="1" latinLnBrk="0" hangingPunct="1">
            <a:defRPr kern="1200">
              <a:solidFill>
                <a:sysClr val="window" lastClr="FFFFFF"/>
              </a:solidFill>
              <a:latin typeface="Trebuchet MS"/>
            </a:defRPr>
          </a:lvl9pPr>
        </a:lstStyle>
        <a:p xmlns:a="http://schemas.openxmlformats.org/drawingml/2006/main">
          <a:pPr algn="ctr"/>
          <a:r>
            <a:rPr lang="ru-RU" dirty="0" smtClean="0">
              <a:solidFill>
                <a:sysClr val="windowText" lastClr="000000"/>
              </a:solidFill>
            </a:rPr>
            <a:t>Расходы, всего 443 297,7 тыс.рублей</a:t>
          </a:r>
          <a:endParaRPr lang="ru-RU" dirty="0">
            <a:solidFill>
              <a:sysClr val="windowText" lastClr="000000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0.10399</cdr:x>
      <cdr:y>0.34587</cdr:y>
    </cdr:from>
    <cdr:to>
      <cdr:x>0.4474</cdr:x>
      <cdr:y>0.5912</cdr:y>
    </cdr:to>
    <cdr:sp macro="" textlink="">
      <cdr:nvSpPr>
        <cdr:cNvPr id="2" name="Скругленный прямоугольник 1"/>
        <cdr:cNvSpPr/>
      </cdr:nvSpPr>
      <cdr:spPr>
        <a:xfrm xmlns:a="http://schemas.openxmlformats.org/drawingml/2006/main">
          <a:off x="546101" y="694027"/>
          <a:ext cx="1803396" cy="492279"/>
        </a:xfrm>
        <a:prstGeom xmlns:a="http://schemas.openxmlformats.org/drawingml/2006/main" prst="roundRect">
          <a:avLst/>
        </a:prstGeom>
        <a:noFill xmlns:a="http://schemas.openxmlformats.org/drawingml/2006/main"/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1200" dirty="0" smtClean="0">
              <a:solidFill>
                <a:schemeClr val="tx1"/>
              </a:solidFill>
            </a:rPr>
            <a:t>29 </a:t>
          </a:r>
          <a:r>
            <a:rPr lang="ru-RU" sz="1200" baseline="0" dirty="0" smtClean="0">
              <a:solidFill>
                <a:schemeClr val="tx1"/>
              </a:solidFill>
            </a:rPr>
            <a:t>098 357,43</a:t>
          </a:r>
          <a:r>
            <a:rPr lang="ru-RU" sz="1200" dirty="0" smtClean="0">
              <a:solidFill>
                <a:schemeClr val="tx1"/>
              </a:solidFill>
            </a:rPr>
            <a:t>руб.</a:t>
          </a:r>
          <a:endParaRPr lang="ru-RU" sz="1200" dirty="0">
            <a:solidFill>
              <a:schemeClr val="tx1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Андреева</dc:creator>
  <cp:lastModifiedBy>User</cp:lastModifiedBy>
  <cp:revision>7</cp:revision>
  <cp:lastPrinted>2022-07-20T05:38:00Z</cp:lastPrinted>
  <dcterms:created xsi:type="dcterms:W3CDTF">2022-07-20T07:03:00Z</dcterms:created>
  <dcterms:modified xsi:type="dcterms:W3CDTF">2022-07-20T07:25:00Z</dcterms:modified>
</cp:coreProperties>
</file>