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185A98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EF7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</w:t>
      </w:r>
      <w:r w:rsidR="0073026A" w:rsidRPr="00D57EF7">
        <w:rPr>
          <w:rFonts w:ascii="Times New Roman" w:hAnsi="Times New Roman" w:cs="Times New Roman"/>
          <w:sz w:val="26"/>
          <w:szCs w:val="26"/>
        </w:rPr>
        <w:t>энергетики</w:t>
      </w:r>
      <w:r w:rsidRPr="00D57EF7">
        <w:rPr>
          <w:rFonts w:ascii="Times New Roman" w:hAnsi="Times New Roman" w:cs="Times New Roman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 № 442, на основании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D57EF7">
        <w:rPr>
          <w:rFonts w:ascii="Times New Roman" w:hAnsi="Times New Roman" w:cs="Times New Roman"/>
          <w:sz w:val="26"/>
          <w:szCs w:val="26"/>
        </w:rPr>
        <w:t xml:space="preserve"> 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 xml:space="preserve"> компания» от 28.04.2022 об одностороннем отказе от исполнения договора энергоснабжения от 01.06.2017 № 36-01/121-7369, заключенного с </w:t>
      </w:r>
      <w:r w:rsidR="00D57E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Хотэй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1D6418" w:rsidRPr="00D57EF7">
        <w:rPr>
          <w:rFonts w:ascii="Times New Roman" w:hAnsi="Times New Roman" w:cs="Times New Roman"/>
          <w:sz w:val="26"/>
          <w:szCs w:val="26"/>
        </w:rPr>
        <w:t xml:space="preserve">, в части снабжения электроэнергией </w:t>
      </w:r>
      <w:r w:rsidR="00E4774B" w:rsidRPr="00D57EF7">
        <w:rPr>
          <w:rFonts w:ascii="Times New Roman" w:hAnsi="Times New Roman" w:cs="Times New Roman"/>
          <w:sz w:val="26"/>
          <w:szCs w:val="26"/>
        </w:rPr>
        <w:t xml:space="preserve">в целях предоставления </w:t>
      </w:r>
      <w:r w:rsidR="001D6418" w:rsidRPr="00D57EF7">
        <w:rPr>
          <w:rFonts w:ascii="Times New Roman" w:hAnsi="Times New Roman" w:cs="Times New Roman"/>
          <w:sz w:val="26"/>
          <w:szCs w:val="26"/>
        </w:rPr>
        <w:t>соответствующей коммунальной услуги собственникам</w:t>
      </w:r>
      <w:proofErr w:type="gramEnd"/>
      <w:r w:rsidR="001D6418" w:rsidRPr="00D57EF7">
        <w:rPr>
          <w:rFonts w:ascii="Times New Roman" w:hAnsi="Times New Roman" w:cs="Times New Roman"/>
          <w:sz w:val="26"/>
          <w:szCs w:val="26"/>
        </w:rPr>
        <w:t xml:space="preserve"> и пользователям помещений, </w:t>
      </w:r>
      <w:r w:rsidR="001D6418" w:rsidRPr="00185A98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обязательств по оплате за потребленную электрическую энергию сообщает: </w:t>
      </w:r>
    </w:p>
    <w:p w:rsidR="001D6418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1. Обслуживание потребителей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Хотэй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</w:t>
      </w:r>
      <w:r w:rsidRPr="00185A98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1D6418" w:rsidRPr="0073026A" w:rsidRDefault="001D6418" w:rsidP="001D6418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6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>/с: 40702810803000152132 в Приволжском филиале ПАО «Промсвязьбанк» г. Нижний Новгород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Хотэй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Хотэй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июня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 xml:space="preserve">, и передать сведения, 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показаний, в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85A98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57EF7" w:rsidRPr="00D57EF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Хотэй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>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85A98">
        <w:rPr>
          <w:rFonts w:ascii="Times New Roman" w:hAnsi="Times New Roman" w:cs="Times New Roman"/>
          <w:sz w:val="26"/>
          <w:szCs w:val="26"/>
        </w:rPr>
        <w:t xml:space="preserve">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 01 </w:t>
      </w:r>
      <w:r>
        <w:rPr>
          <w:rFonts w:ascii="Times New Roman" w:hAnsi="Times New Roman" w:cs="Times New Roman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lastRenderedPageBreak/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1D6418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57EF7"/>
    <w:rsid w:val="00D60231"/>
    <w:rsid w:val="00D84268"/>
    <w:rsid w:val="00DE3354"/>
    <w:rsid w:val="00DE52EF"/>
    <w:rsid w:val="00DF04AC"/>
    <w:rsid w:val="00E4774B"/>
    <w:rsid w:val="00E80F46"/>
    <w:rsid w:val="00EE3CD0"/>
    <w:rsid w:val="00F05EC9"/>
    <w:rsid w:val="00F152D5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h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Яшнова Анна Вячеславовна</cp:lastModifiedBy>
  <cp:revision>5</cp:revision>
  <cp:lastPrinted>2022-04-21T08:06:00Z</cp:lastPrinted>
  <dcterms:created xsi:type="dcterms:W3CDTF">2022-04-21T08:09:00Z</dcterms:created>
  <dcterms:modified xsi:type="dcterms:W3CDTF">2022-05-13T14:22:00Z</dcterms:modified>
</cp:coreProperties>
</file>