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3" w:rsidRPr="00B26773" w:rsidRDefault="00B26773" w:rsidP="00B26773">
      <w:pPr>
        <w:jc w:val="right"/>
        <w:rPr>
          <w:b/>
          <w:sz w:val="28"/>
          <w:szCs w:val="28"/>
        </w:rPr>
      </w:pPr>
      <w:r w:rsidRPr="00B26773">
        <w:rPr>
          <w:b/>
          <w:sz w:val="28"/>
          <w:szCs w:val="28"/>
        </w:rPr>
        <w:t>ПРОЕКТ</w:t>
      </w: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</w:t>
            </w:r>
            <w:r w:rsidR="00463FBE">
              <w:rPr>
                <w:b/>
              </w:rPr>
              <w:t>1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</w:t>
            </w:r>
            <w:r w:rsidR="00A64601">
              <w:rPr>
                <w:b/>
              </w:rPr>
              <w:t>2</w:t>
            </w:r>
            <w:r w:rsidR="00463FBE">
              <w:rPr>
                <w:b/>
              </w:rPr>
              <w:t>1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</w:t>
            </w:r>
            <w:r w:rsidR="00E33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F57BD" w:rsidRDefault="009046DE" w:rsidP="000F57B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634B09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 w:rsidR="00634B09">
        <w:rPr>
          <w:rFonts w:ascii="Times New Roman" w:hAnsi="Times New Roman" w:cs="Times New Roman"/>
          <w:sz w:val="24"/>
          <w:szCs w:val="24"/>
        </w:rPr>
        <w:t>го района Чувашской Республики» в разделе «</w:t>
      </w:r>
      <w:r w:rsidR="005D1C93">
        <w:rPr>
          <w:rFonts w:ascii="Times New Roman" w:hAnsi="Times New Roman" w:cs="Times New Roman"/>
          <w:sz w:val="24"/>
          <w:szCs w:val="24"/>
        </w:rPr>
        <w:t>Моргаушское</w:t>
      </w:r>
      <w:r w:rsidR="00634B0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0F57BD">
        <w:rPr>
          <w:rFonts w:ascii="Times New Roman" w:hAnsi="Times New Roman" w:cs="Times New Roman"/>
          <w:sz w:val="24"/>
          <w:szCs w:val="24"/>
        </w:rPr>
        <w:t xml:space="preserve">добавить следующую новую позицию под номером </w:t>
      </w:r>
      <w:r w:rsidR="00C255C1">
        <w:rPr>
          <w:rFonts w:ascii="Times New Roman" w:hAnsi="Times New Roman" w:cs="Times New Roman"/>
          <w:sz w:val="24"/>
          <w:szCs w:val="24"/>
        </w:rPr>
        <w:t>7</w:t>
      </w:r>
      <w:r w:rsidR="000F57BD">
        <w:rPr>
          <w:rFonts w:ascii="Times New Roman" w:hAnsi="Times New Roman" w:cs="Times New Roman"/>
          <w:sz w:val="24"/>
          <w:szCs w:val="24"/>
        </w:rPr>
        <w:t>:</w:t>
      </w:r>
    </w:p>
    <w:p w:rsidR="000F57BD" w:rsidRDefault="000F57BD" w:rsidP="000F57B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0F57BD" w:rsidRPr="0004237F" w:rsidTr="00CF2A2C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0F57BD" w:rsidRPr="0004237F" w:rsidTr="00CF2A2C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Pr="0004237F" w:rsidRDefault="000F57BD" w:rsidP="00CF2A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57BD" w:rsidRPr="0004237F" w:rsidTr="00CF2A2C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57BD" w:rsidRDefault="000F57BD" w:rsidP="00CF2A2C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Моргаушское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  <w:p w:rsidR="006348BD" w:rsidRDefault="006348BD" w:rsidP="00CF2A2C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9CE" w:rsidRPr="0004237F" w:rsidTr="00CF2A2C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Default="002B39CE" w:rsidP="00C008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Default="002B39CE" w:rsidP="00C00815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оргауши</w:t>
            </w:r>
            <w:r>
              <w:rPr>
                <w:sz w:val="24"/>
                <w:szCs w:val="24"/>
              </w:rPr>
              <w:t xml:space="preserve"> </w:t>
            </w:r>
            <w:r w:rsidRPr="00BB4507">
              <w:rPr>
                <w:rFonts w:ascii="Times New Roman" w:hAnsi="Times New Roman"/>
                <w:sz w:val="24"/>
                <w:szCs w:val="24"/>
              </w:rPr>
              <w:t>(между МУП «Рынок Моргаушский» и МАУ ДО СШ «Сывлах»)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Pr="0004237F" w:rsidRDefault="002B39CE" w:rsidP="00C00815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Pr="0004237F" w:rsidRDefault="002B39CE" w:rsidP="00C00815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04237F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Pr="0004237F" w:rsidRDefault="002B39CE" w:rsidP="00C008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собственность не 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Pr="0004237F" w:rsidRDefault="002B39CE" w:rsidP="00C008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Pr="0004237F" w:rsidRDefault="002B39CE" w:rsidP="00C00815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9CE" w:rsidRDefault="002B39CE" w:rsidP="00C00815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B39CE" w:rsidRDefault="002B39CE" w:rsidP="000F57B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0F57BD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администрации Моргаушского района и опубликовать в периодическом печатном издании «Вестник» Моргаушского района Чувашской Республики.</w:t>
      </w:r>
    </w:p>
    <w:p w:rsidR="00634B09" w:rsidRDefault="00806B5A" w:rsidP="00634B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</w:t>
      </w:r>
      <w:r w:rsidR="002B39CE">
        <w:rPr>
          <w:rFonts w:ascii="Times New Roman" w:hAnsi="Times New Roman" w:cs="Times New Roman"/>
          <w:sz w:val="24"/>
          <w:szCs w:val="24"/>
        </w:rPr>
        <w:t>отдел экономики администрации Моргаушского района Чувашской Республики.</w:t>
      </w: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34B09" w:rsidRDefault="00634B09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B39CE" w:rsidRDefault="002B39CE" w:rsidP="002B39CE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Временно </w:t>
      </w: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  <w:r w:rsidRPr="0040789A">
        <w:rPr>
          <w:rFonts w:ascii="Times New Roman" w:hAnsi="Times New Roman"/>
          <w:sz w:val="24"/>
          <w:szCs w:val="24"/>
        </w:rPr>
        <w:t xml:space="preserve"> главы </w:t>
      </w:r>
    </w:p>
    <w:p w:rsidR="002B39CE" w:rsidRDefault="002B39CE" w:rsidP="002B39CE">
      <w:pPr>
        <w:pStyle w:val="1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789A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Моргаушского </w:t>
      </w:r>
      <w:r w:rsidRPr="0040789A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А.Н.Матросов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3C70E5" w:rsidSect="00634B09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823E7"/>
    <w:rsid w:val="0009303E"/>
    <w:rsid w:val="000B7CC3"/>
    <w:rsid w:val="000F57BD"/>
    <w:rsid w:val="0010153F"/>
    <w:rsid w:val="0015758B"/>
    <w:rsid w:val="00177E53"/>
    <w:rsid w:val="00185628"/>
    <w:rsid w:val="001908B1"/>
    <w:rsid w:val="00191AA3"/>
    <w:rsid w:val="001B2844"/>
    <w:rsid w:val="001B762A"/>
    <w:rsid w:val="001F051A"/>
    <w:rsid w:val="00243954"/>
    <w:rsid w:val="002733CB"/>
    <w:rsid w:val="002B39CE"/>
    <w:rsid w:val="002B3A3C"/>
    <w:rsid w:val="002F6797"/>
    <w:rsid w:val="00301BB0"/>
    <w:rsid w:val="00314401"/>
    <w:rsid w:val="00334D7E"/>
    <w:rsid w:val="00340814"/>
    <w:rsid w:val="00372F8F"/>
    <w:rsid w:val="00375076"/>
    <w:rsid w:val="00383EAE"/>
    <w:rsid w:val="00386AC6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63FBE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92E10"/>
    <w:rsid w:val="0059504A"/>
    <w:rsid w:val="00596FCB"/>
    <w:rsid w:val="005C4E36"/>
    <w:rsid w:val="005C6780"/>
    <w:rsid w:val="005D1C93"/>
    <w:rsid w:val="005E010F"/>
    <w:rsid w:val="005E7237"/>
    <w:rsid w:val="00623C25"/>
    <w:rsid w:val="006348BD"/>
    <w:rsid w:val="00634B09"/>
    <w:rsid w:val="00644A42"/>
    <w:rsid w:val="00650D88"/>
    <w:rsid w:val="006804D9"/>
    <w:rsid w:val="00681CE9"/>
    <w:rsid w:val="006906D6"/>
    <w:rsid w:val="00694DB6"/>
    <w:rsid w:val="006A6192"/>
    <w:rsid w:val="006D45CE"/>
    <w:rsid w:val="006D7F65"/>
    <w:rsid w:val="007070DD"/>
    <w:rsid w:val="00722F85"/>
    <w:rsid w:val="007351C2"/>
    <w:rsid w:val="00740079"/>
    <w:rsid w:val="007431B3"/>
    <w:rsid w:val="007546EA"/>
    <w:rsid w:val="007D5FD8"/>
    <w:rsid w:val="007F73C9"/>
    <w:rsid w:val="007F780A"/>
    <w:rsid w:val="00801964"/>
    <w:rsid w:val="00806B5A"/>
    <w:rsid w:val="00831435"/>
    <w:rsid w:val="008472F7"/>
    <w:rsid w:val="008634A0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16C70"/>
    <w:rsid w:val="00C255C1"/>
    <w:rsid w:val="00C3186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C3A44"/>
    <w:rsid w:val="00DC405C"/>
    <w:rsid w:val="00DD2230"/>
    <w:rsid w:val="00E12F82"/>
    <w:rsid w:val="00E25727"/>
    <w:rsid w:val="00E330C2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31">
    <w:name w:val="Абзац списка3"/>
    <w:basedOn w:val="a"/>
    <w:rsid w:val="00634B09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45B26-3C30-457F-9253-AD74FCAE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Тимофеева</cp:lastModifiedBy>
  <cp:revision>12</cp:revision>
  <cp:lastPrinted>2019-07-15T11:20:00Z</cp:lastPrinted>
  <dcterms:created xsi:type="dcterms:W3CDTF">2021-04-27T14:48:00Z</dcterms:created>
  <dcterms:modified xsi:type="dcterms:W3CDTF">2022-05-24T09:05:00Z</dcterms:modified>
</cp:coreProperties>
</file>