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8587434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E43815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февраля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0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40-7-</w:t>
      </w:r>
      <w:r w:rsidR="003350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0489B" w:rsidRPr="00E0489B" w:rsidTr="004A7D60">
        <w:trPr>
          <w:trHeight w:val="645"/>
        </w:trPr>
        <w:tc>
          <w:tcPr>
            <w:tcW w:w="14566" w:type="dxa"/>
          </w:tcPr>
          <w:p w:rsidR="00B11800" w:rsidRPr="00E048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E0489B" w:rsidRDefault="00B11800" w:rsidP="00E4381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0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0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BC4438" w:rsidRDefault="00B11800" w:rsidP="00E4381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</w:t>
      </w:r>
      <w:r w:rsidRPr="00177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177EBA" w:rsidRPr="00177EBA">
        <w:rPr>
          <w:rFonts w:ascii="Times New Roman" w:eastAsia="Times New Roman" w:hAnsi="Times New Roman" w:cs="Times New Roman"/>
          <w:sz w:val="24"/>
          <w:szCs w:val="24"/>
        </w:rPr>
        <w:t>Малгай</w:t>
      </w:r>
      <w:proofErr w:type="spellEnd"/>
      <w:r w:rsidR="00177EBA" w:rsidRPr="00177EBA">
        <w:rPr>
          <w:rFonts w:ascii="Times New Roman" w:eastAsia="Times New Roman" w:hAnsi="Times New Roman" w:cs="Times New Roman"/>
          <w:sz w:val="24"/>
          <w:szCs w:val="24"/>
        </w:rPr>
        <w:t xml:space="preserve"> Александра Анатольевича</w:t>
      </w:r>
      <w:r w:rsidRPr="00177EB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77EBA" w:rsidRPr="00177EBA">
        <w:rPr>
          <w:rFonts w:ascii="Times New Roman" w:eastAsia="Times New Roman" w:hAnsi="Times New Roman" w:cs="Times New Roman"/>
          <w:sz w:val="24"/>
          <w:szCs w:val="24"/>
        </w:rPr>
        <w:t>преподавателя эстрадного отделения Муниципального бюджетного образовательного учреждения дополнительного образования «Детская школа искусств» г. Новочебоксарска Чувашской Республики</w:t>
      </w:r>
      <w:r w:rsidR="0092077E" w:rsidRPr="00177EBA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177EBA" w:rsidRPr="00177EBA">
        <w:rPr>
          <w:rFonts w:ascii="Times New Roman" w:eastAsia="Times New Roman" w:hAnsi="Times New Roman" w:cs="Times New Roman"/>
          <w:sz w:val="24"/>
          <w:szCs w:val="24"/>
        </w:rPr>
        <w:t>активную социально значимую деятельность, большой вклад в развитие культуры и искусства</w:t>
      </w:r>
      <w:r w:rsidR="000109BF" w:rsidRPr="00177E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E0489B" w:rsidRDefault="000109BF" w:rsidP="00E4381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0489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0489B" w:rsidRDefault="000109BF" w:rsidP="00E438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0489B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E0489B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E0489B" w:rsidRDefault="00B11800" w:rsidP="00B11800">
      <w:pPr>
        <w:spacing w:after="0" w:line="240" w:lineRule="auto"/>
        <w:jc w:val="both"/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E0489B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E0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1720DB"/>
    <w:rsid w:val="00177EBA"/>
    <w:rsid w:val="00183C31"/>
    <w:rsid w:val="0033506A"/>
    <w:rsid w:val="003D7D0C"/>
    <w:rsid w:val="00434990"/>
    <w:rsid w:val="00634A3F"/>
    <w:rsid w:val="006C2702"/>
    <w:rsid w:val="007141B4"/>
    <w:rsid w:val="00740BA5"/>
    <w:rsid w:val="007A7309"/>
    <w:rsid w:val="007C0DEE"/>
    <w:rsid w:val="00800600"/>
    <w:rsid w:val="0092077E"/>
    <w:rsid w:val="00A009CD"/>
    <w:rsid w:val="00A63142"/>
    <w:rsid w:val="00B11800"/>
    <w:rsid w:val="00BC4438"/>
    <w:rsid w:val="00BD3490"/>
    <w:rsid w:val="00BE1171"/>
    <w:rsid w:val="00BE4E29"/>
    <w:rsid w:val="00C145A9"/>
    <w:rsid w:val="00C667E0"/>
    <w:rsid w:val="00D35CD3"/>
    <w:rsid w:val="00E0489B"/>
    <w:rsid w:val="00E122C7"/>
    <w:rsid w:val="00E4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26</cp:revision>
  <dcterms:created xsi:type="dcterms:W3CDTF">2020-08-26T06:37:00Z</dcterms:created>
  <dcterms:modified xsi:type="dcterms:W3CDTF">2023-02-22T13:11:00Z</dcterms:modified>
</cp:coreProperties>
</file>