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43704" w:rsidRPr="00743704" w:rsidTr="00B64596">
        <w:trPr>
          <w:trHeight w:val="1130"/>
        </w:trPr>
        <w:tc>
          <w:tcPr>
            <w:tcW w:w="3540" w:type="dxa"/>
          </w:tcPr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3704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43704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3704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43704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3704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704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704">
              <w:rPr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704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704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704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3704" w:rsidRPr="00743704" w:rsidRDefault="00743704" w:rsidP="00743704">
            <w:pPr>
              <w:suppressAutoHyphens w:val="0"/>
              <w:overflowPunc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704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43704" w:rsidRPr="00743704" w:rsidRDefault="00743704" w:rsidP="00743704">
      <w:pPr>
        <w:suppressAutoHyphens w:val="0"/>
        <w:overflowPunct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743704" w:rsidRPr="00743704" w:rsidRDefault="00743704" w:rsidP="00743704">
      <w:pPr>
        <w:suppressAutoHyphens w:val="0"/>
        <w:overflowPunct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25</w:t>
      </w:r>
      <w:r w:rsidRPr="00743704">
        <w:rPr>
          <w:bCs/>
          <w:sz w:val="28"/>
          <w:szCs w:val="28"/>
          <w:lang w:eastAsia="ru-RU"/>
        </w:rPr>
        <w:t xml:space="preserve">.11.2015  № </w:t>
      </w:r>
      <w:r>
        <w:rPr>
          <w:bCs/>
          <w:sz w:val="28"/>
          <w:szCs w:val="28"/>
          <w:lang w:eastAsia="ru-RU"/>
        </w:rPr>
        <w:t>3558</w:t>
      </w:r>
    </w:p>
    <w:p w:rsidR="00643C0A" w:rsidRPr="00643C0A" w:rsidRDefault="00643C0A" w:rsidP="00643C0A">
      <w:pPr>
        <w:widowControl/>
        <w:autoSpaceDE/>
        <w:ind w:right="4512"/>
        <w:jc w:val="both"/>
        <w:rPr>
          <w:sz w:val="28"/>
          <w:szCs w:val="28"/>
          <w:lang w:eastAsia="zh-CN"/>
        </w:rPr>
      </w:pPr>
    </w:p>
    <w:p w:rsidR="00643C0A" w:rsidRPr="00643C0A" w:rsidRDefault="00643C0A" w:rsidP="00643C0A">
      <w:pPr>
        <w:widowControl/>
        <w:autoSpaceDE/>
        <w:ind w:right="4512"/>
        <w:jc w:val="both"/>
        <w:rPr>
          <w:sz w:val="28"/>
          <w:szCs w:val="28"/>
          <w:lang w:eastAsia="zh-CN"/>
        </w:rPr>
      </w:pPr>
      <w:r w:rsidRPr="00643C0A">
        <w:rPr>
          <w:sz w:val="28"/>
          <w:szCs w:val="28"/>
          <w:lang w:eastAsia="zh-CN"/>
        </w:rPr>
        <w:t>О внесении изменений в постановление</w:t>
      </w:r>
      <w:r w:rsidR="007B2F97">
        <w:rPr>
          <w:sz w:val="28"/>
          <w:szCs w:val="28"/>
          <w:lang w:eastAsia="zh-CN"/>
        </w:rPr>
        <w:t xml:space="preserve"> </w:t>
      </w:r>
      <w:r w:rsidRPr="00643C0A">
        <w:rPr>
          <w:sz w:val="28"/>
          <w:szCs w:val="28"/>
          <w:lang w:eastAsia="zh-CN"/>
        </w:rPr>
        <w:t>администрации города Чебоксары от 15.12.2014 № 4242</w:t>
      </w:r>
    </w:p>
    <w:p w:rsidR="00643C0A" w:rsidRPr="00643C0A" w:rsidRDefault="00643C0A" w:rsidP="00643C0A">
      <w:pPr>
        <w:widowControl/>
        <w:autoSpaceDE/>
        <w:ind w:right="4512"/>
        <w:jc w:val="both"/>
        <w:rPr>
          <w:sz w:val="28"/>
          <w:szCs w:val="28"/>
          <w:lang w:eastAsia="zh-CN"/>
        </w:rPr>
      </w:pPr>
    </w:p>
    <w:p w:rsidR="00643C0A" w:rsidRPr="00643C0A" w:rsidRDefault="00643C0A" w:rsidP="001F377A">
      <w:pPr>
        <w:widowControl/>
        <w:tabs>
          <w:tab w:val="left" w:pos="6213"/>
        </w:tabs>
        <w:autoSpaceDE/>
        <w:spacing w:line="336" w:lineRule="auto"/>
        <w:ind w:firstLine="709"/>
        <w:jc w:val="both"/>
        <w:rPr>
          <w:spacing w:val="-4"/>
          <w:sz w:val="28"/>
          <w:szCs w:val="28"/>
          <w:lang w:eastAsia="zh-CN"/>
        </w:rPr>
      </w:pPr>
      <w:r w:rsidRPr="00643C0A">
        <w:rPr>
          <w:sz w:val="28"/>
          <w:szCs w:val="28"/>
          <w:lang w:eastAsia="ru-RU"/>
        </w:rPr>
        <w:t xml:space="preserve">В соответствии с </w:t>
      </w:r>
      <w:r w:rsidR="008732D1">
        <w:rPr>
          <w:sz w:val="28"/>
          <w:szCs w:val="28"/>
          <w:lang w:eastAsia="ru-RU"/>
        </w:rPr>
        <w:t>Ф</w:t>
      </w:r>
      <w:r w:rsidRPr="00643C0A">
        <w:rPr>
          <w:sz w:val="28"/>
          <w:szCs w:val="28"/>
          <w:lang w:eastAsia="ru-RU"/>
        </w:rPr>
        <w:t>едеральным закон</w:t>
      </w:r>
      <w:r w:rsidR="008732D1">
        <w:rPr>
          <w:sz w:val="28"/>
          <w:szCs w:val="28"/>
          <w:lang w:eastAsia="ru-RU"/>
        </w:rPr>
        <w:t>ом</w:t>
      </w:r>
      <w:r w:rsidRPr="00643C0A">
        <w:rPr>
          <w:sz w:val="28"/>
          <w:szCs w:val="28"/>
          <w:lang w:eastAsia="ru-RU"/>
        </w:rPr>
        <w:t xml:space="preserve"> от 30.12.2004 №210-ФЗ «Об основах регулирования тарифов организаций коммунального комплекса», </w:t>
      </w:r>
      <w:hyperlink r:id="rId8" w:history="1">
        <w:r w:rsidRPr="00643C0A">
          <w:rPr>
            <w:sz w:val="28"/>
            <w:szCs w:val="28"/>
            <w:lang w:eastAsia="ru-RU"/>
          </w:rPr>
          <w:t>Методическими рекомендациями</w:t>
        </w:r>
      </w:hyperlink>
      <w:r w:rsidRPr="00643C0A">
        <w:rPr>
          <w:sz w:val="28"/>
          <w:szCs w:val="28"/>
          <w:lang w:eastAsia="ru-RU"/>
        </w:rPr>
        <w:t xml:space="preserve"> по подготовке технических заданий по разработке инвестиционных программ организаций коммунального комплекса, утвержденных </w:t>
      </w:r>
      <w:hyperlink r:id="rId9" w:history="1">
        <w:r w:rsidRPr="00643C0A">
          <w:rPr>
            <w:sz w:val="28"/>
            <w:szCs w:val="28"/>
            <w:lang w:eastAsia="ru-RU"/>
          </w:rPr>
          <w:t>приказом</w:t>
        </w:r>
      </w:hyperlink>
      <w:r w:rsidRPr="00643C0A">
        <w:rPr>
          <w:sz w:val="28"/>
          <w:szCs w:val="28"/>
          <w:lang w:eastAsia="ru-RU"/>
        </w:rPr>
        <w:t xml:space="preserve"> Министерства регионального развития Российской Федерации от 10.10.2007 №100, в целях развития объектов, используемых для утилизации (захоронения) твердых бытовых отходов,  </w:t>
      </w:r>
      <w:r w:rsidRPr="00643C0A">
        <w:rPr>
          <w:spacing w:val="-4"/>
          <w:sz w:val="28"/>
          <w:szCs w:val="28"/>
          <w:lang w:eastAsia="zh-CN"/>
        </w:rPr>
        <w:t>п о с т а н о в л я ю:</w:t>
      </w:r>
    </w:p>
    <w:p w:rsidR="00643C0A" w:rsidRPr="00643C0A" w:rsidRDefault="00643C0A" w:rsidP="001F377A">
      <w:pPr>
        <w:widowControl/>
        <w:suppressAutoHyphens w:val="0"/>
        <w:autoSpaceDN w:val="0"/>
        <w:adjustRightInd w:val="0"/>
        <w:spacing w:line="336" w:lineRule="auto"/>
        <w:ind w:right="-1" w:firstLine="708"/>
        <w:jc w:val="both"/>
        <w:rPr>
          <w:sz w:val="28"/>
          <w:szCs w:val="28"/>
          <w:lang w:eastAsia="ru-RU"/>
        </w:rPr>
      </w:pPr>
      <w:r w:rsidRPr="00643C0A">
        <w:rPr>
          <w:sz w:val="28"/>
          <w:szCs w:val="28"/>
          <w:lang w:eastAsia="zh-CN"/>
        </w:rPr>
        <w:t>1. </w:t>
      </w:r>
      <w:r w:rsidRPr="00643C0A">
        <w:rPr>
          <w:color w:val="000000"/>
          <w:sz w:val="28"/>
          <w:lang w:eastAsia="ru-RU"/>
        </w:rPr>
        <w:t xml:space="preserve">Внести в постановление администрации города Чебоксары </w:t>
      </w:r>
      <w:r w:rsidRPr="00643C0A">
        <w:rPr>
          <w:sz w:val="28"/>
          <w:szCs w:val="28"/>
          <w:lang w:eastAsia="zh-CN"/>
        </w:rPr>
        <w:t>от 15.12.2014 № 4242 «</w:t>
      </w:r>
      <w:r w:rsidRPr="00643C0A">
        <w:rPr>
          <w:sz w:val="28"/>
          <w:szCs w:val="28"/>
          <w:lang w:eastAsia="ru-RU"/>
        </w:rPr>
        <w:t xml:space="preserve">Об утверждении технического задания на разработку инвестиционной программы филиала ЗАО «Управление отходами» в г. Новочебоксарск по развитию объектов, используемых для утилизации (захоронения) твердых бытовых отходов» </w:t>
      </w:r>
      <w:r w:rsidRPr="00643C0A">
        <w:rPr>
          <w:color w:val="000000"/>
          <w:sz w:val="28"/>
          <w:lang w:eastAsia="ru-RU"/>
        </w:rPr>
        <w:t>изменени</w:t>
      </w:r>
      <w:r w:rsidR="007B2F97">
        <w:rPr>
          <w:color w:val="000000"/>
          <w:sz w:val="28"/>
          <w:lang w:eastAsia="ru-RU"/>
        </w:rPr>
        <w:t>е, изложив приложение в новой</w:t>
      </w:r>
      <w:r w:rsidRPr="00643C0A">
        <w:rPr>
          <w:sz w:val="28"/>
          <w:szCs w:val="28"/>
          <w:lang w:eastAsia="zh-CN"/>
        </w:rPr>
        <w:t xml:space="preserve"> редакции согласно приложению</w:t>
      </w:r>
      <w:r w:rsidR="007B2F97">
        <w:rPr>
          <w:sz w:val="28"/>
          <w:szCs w:val="28"/>
          <w:lang w:eastAsia="zh-CN"/>
        </w:rPr>
        <w:t xml:space="preserve"> к настоящему постановлению</w:t>
      </w:r>
      <w:r w:rsidRPr="00643C0A">
        <w:rPr>
          <w:sz w:val="28"/>
          <w:szCs w:val="28"/>
          <w:lang w:eastAsia="zh-CN"/>
        </w:rPr>
        <w:t>.</w:t>
      </w:r>
    </w:p>
    <w:p w:rsidR="00643C0A" w:rsidRDefault="00643C0A" w:rsidP="001F377A">
      <w:pPr>
        <w:widowControl/>
        <w:tabs>
          <w:tab w:val="left" w:pos="684"/>
        </w:tabs>
        <w:autoSpaceDE/>
        <w:spacing w:line="336" w:lineRule="auto"/>
        <w:jc w:val="both"/>
        <w:rPr>
          <w:sz w:val="28"/>
          <w:szCs w:val="24"/>
          <w:lang w:eastAsia="zh-CN"/>
        </w:rPr>
      </w:pPr>
      <w:r w:rsidRPr="00643C0A">
        <w:rPr>
          <w:sz w:val="28"/>
          <w:szCs w:val="24"/>
          <w:lang w:eastAsia="zh-CN"/>
        </w:rPr>
        <w:tab/>
      </w:r>
      <w:r w:rsidR="001F377A">
        <w:rPr>
          <w:sz w:val="28"/>
          <w:szCs w:val="24"/>
          <w:lang w:eastAsia="zh-CN"/>
        </w:rPr>
        <w:t>2</w:t>
      </w:r>
      <w:r w:rsidRPr="00643C0A">
        <w:rPr>
          <w:sz w:val="28"/>
          <w:szCs w:val="24"/>
          <w:lang w:eastAsia="zh-CN"/>
        </w:rPr>
        <w:t>. Управлению по связям со СМИ и молодежной политики администрации города Чебоксары (А.Е. Жуков) опубликовать настоящее постановление в средствах массовой информации.</w:t>
      </w:r>
    </w:p>
    <w:p w:rsidR="001F377A" w:rsidRPr="00643C0A" w:rsidRDefault="001F377A" w:rsidP="001F377A">
      <w:pPr>
        <w:widowControl/>
        <w:tabs>
          <w:tab w:val="left" w:pos="684"/>
        </w:tabs>
        <w:autoSpaceDE/>
        <w:spacing w:line="336" w:lineRule="auto"/>
        <w:jc w:val="both"/>
        <w:rPr>
          <w:sz w:val="28"/>
          <w:szCs w:val="24"/>
          <w:lang w:eastAsia="zh-CN"/>
        </w:rPr>
      </w:pPr>
      <w:r w:rsidRPr="00643C0A">
        <w:rPr>
          <w:sz w:val="28"/>
          <w:szCs w:val="24"/>
          <w:lang w:eastAsia="zh-CN"/>
        </w:rPr>
        <w:tab/>
      </w:r>
      <w:r>
        <w:rPr>
          <w:sz w:val="28"/>
          <w:szCs w:val="24"/>
          <w:lang w:eastAsia="zh-CN"/>
        </w:rPr>
        <w:t>3</w:t>
      </w:r>
      <w:r w:rsidRPr="00643C0A">
        <w:rPr>
          <w:sz w:val="28"/>
          <w:szCs w:val="24"/>
          <w:lang w:eastAsia="zh-CN"/>
        </w:rPr>
        <w:t>. Настоящ</w:t>
      </w:r>
      <w:r>
        <w:rPr>
          <w:sz w:val="28"/>
          <w:szCs w:val="24"/>
          <w:lang w:eastAsia="zh-CN"/>
        </w:rPr>
        <w:t>е</w:t>
      </w:r>
      <w:r w:rsidRPr="00643C0A">
        <w:rPr>
          <w:sz w:val="28"/>
          <w:szCs w:val="24"/>
          <w:lang w:eastAsia="zh-CN"/>
        </w:rPr>
        <w:t xml:space="preserve">е постановление вступает в силу </w:t>
      </w:r>
      <w:r>
        <w:rPr>
          <w:sz w:val="28"/>
          <w:szCs w:val="24"/>
          <w:lang w:eastAsia="zh-CN"/>
        </w:rPr>
        <w:t>со дня его</w:t>
      </w:r>
      <w:r w:rsidRPr="00643C0A">
        <w:rPr>
          <w:sz w:val="28"/>
          <w:szCs w:val="24"/>
          <w:lang w:eastAsia="zh-CN"/>
        </w:rPr>
        <w:t xml:space="preserve"> официального опубликования.</w:t>
      </w:r>
    </w:p>
    <w:p w:rsidR="00643C0A" w:rsidRDefault="00643C0A" w:rsidP="001F377A">
      <w:pPr>
        <w:widowControl/>
        <w:tabs>
          <w:tab w:val="left" w:pos="684"/>
        </w:tabs>
        <w:autoSpaceDE/>
        <w:spacing w:line="336" w:lineRule="auto"/>
        <w:ind w:firstLine="684"/>
        <w:jc w:val="both"/>
        <w:rPr>
          <w:sz w:val="28"/>
          <w:szCs w:val="24"/>
          <w:lang w:eastAsia="zh-CN"/>
        </w:rPr>
      </w:pPr>
      <w:r w:rsidRPr="00643C0A">
        <w:rPr>
          <w:sz w:val="28"/>
          <w:szCs w:val="24"/>
          <w:lang w:eastAsia="zh-CN"/>
        </w:rPr>
        <w:t xml:space="preserve">4. Контроль за исполнением настоящего постановления возложить </w:t>
      </w:r>
      <w:proofErr w:type="gramStart"/>
      <w:r w:rsidRPr="00643C0A">
        <w:rPr>
          <w:sz w:val="28"/>
          <w:szCs w:val="24"/>
          <w:lang w:eastAsia="zh-CN"/>
        </w:rPr>
        <w:t>на  заместителя</w:t>
      </w:r>
      <w:proofErr w:type="gramEnd"/>
      <w:r w:rsidRPr="00643C0A">
        <w:rPr>
          <w:sz w:val="28"/>
          <w:szCs w:val="24"/>
          <w:lang w:eastAsia="zh-CN"/>
        </w:rPr>
        <w:t xml:space="preserve"> главы администрации города Чебоксары по вопросам ЖКХ               </w:t>
      </w:r>
      <w:bookmarkStart w:id="0" w:name="_GoBack"/>
      <w:bookmarkEnd w:id="0"/>
      <w:r w:rsidRPr="00643C0A">
        <w:rPr>
          <w:sz w:val="28"/>
          <w:szCs w:val="24"/>
          <w:lang w:eastAsia="zh-CN"/>
        </w:rPr>
        <w:t xml:space="preserve">Г.Г. Александрова. </w:t>
      </w:r>
    </w:p>
    <w:p w:rsidR="00643C0A" w:rsidRPr="00643C0A" w:rsidRDefault="00643C0A" w:rsidP="00643C0A">
      <w:pPr>
        <w:widowControl/>
        <w:tabs>
          <w:tab w:val="left" w:pos="684"/>
        </w:tabs>
        <w:autoSpaceDE/>
        <w:ind w:firstLine="684"/>
        <w:jc w:val="both"/>
        <w:rPr>
          <w:sz w:val="28"/>
          <w:szCs w:val="24"/>
          <w:lang w:eastAsia="zh-CN"/>
        </w:rPr>
      </w:pPr>
    </w:p>
    <w:p w:rsidR="008732D1" w:rsidRDefault="00643C0A" w:rsidP="00643C0A">
      <w:pPr>
        <w:widowControl/>
        <w:tabs>
          <w:tab w:val="left" w:pos="684"/>
          <w:tab w:val="left" w:pos="1650"/>
        </w:tabs>
        <w:autoSpaceDE/>
        <w:jc w:val="both"/>
        <w:rPr>
          <w:sz w:val="28"/>
          <w:szCs w:val="24"/>
          <w:lang w:eastAsia="zh-CN"/>
        </w:rPr>
        <w:sectPr w:rsidR="008732D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3C0A">
        <w:rPr>
          <w:sz w:val="28"/>
          <w:szCs w:val="24"/>
          <w:lang w:eastAsia="zh-CN"/>
        </w:rPr>
        <w:t>Глава администрации города Чебоксары                                     А.О. Ладыков</w:t>
      </w:r>
    </w:p>
    <w:p w:rsidR="00CF6163" w:rsidRPr="00CF6163" w:rsidRDefault="00F607D2" w:rsidP="00F607D2">
      <w:pPr>
        <w:suppressAutoHyphens w:val="0"/>
        <w:autoSpaceDN w:val="0"/>
        <w:adjustRightInd w:val="0"/>
        <w:ind w:firstLine="4678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Приложение</w:t>
      </w:r>
    </w:p>
    <w:p w:rsidR="00CF6163" w:rsidRPr="00CF6163" w:rsidRDefault="00F607D2" w:rsidP="00F607D2">
      <w:pPr>
        <w:suppressAutoHyphens w:val="0"/>
        <w:autoSpaceDN w:val="0"/>
        <w:adjustRightInd w:val="0"/>
        <w:ind w:firstLine="4678"/>
        <w:rPr>
          <w:sz w:val="28"/>
          <w:lang w:eastAsia="ru-RU"/>
        </w:rPr>
      </w:pPr>
      <w:r>
        <w:rPr>
          <w:sz w:val="28"/>
          <w:lang w:eastAsia="ru-RU"/>
        </w:rPr>
        <w:t xml:space="preserve">к </w:t>
      </w:r>
      <w:r w:rsidR="00CF6163" w:rsidRPr="00CF6163">
        <w:rPr>
          <w:sz w:val="28"/>
          <w:lang w:eastAsia="ru-RU"/>
        </w:rPr>
        <w:t>постановлени</w:t>
      </w:r>
      <w:r>
        <w:rPr>
          <w:sz w:val="28"/>
          <w:lang w:eastAsia="ru-RU"/>
        </w:rPr>
        <w:t>ю</w:t>
      </w:r>
      <w:r w:rsidR="00CF6163" w:rsidRPr="00CF6163">
        <w:rPr>
          <w:sz w:val="28"/>
          <w:lang w:eastAsia="ru-RU"/>
        </w:rPr>
        <w:t xml:space="preserve"> администрации</w:t>
      </w:r>
    </w:p>
    <w:p w:rsidR="00CF6163" w:rsidRPr="00CF6163" w:rsidRDefault="00CF6163" w:rsidP="00F607D2">
      <w:pPr>
        <w:suppressAutoHyphens w:val="0"/>
        <w:autoSpaceDN w:val="0"/>
        <w:adjustRightInd w:val="0"/>
        <w:ind w:firstLine="4678"/>
        <w:outlineLvl w:val="0"/>
        <w:rPr>
          <w:sz w:val="28"/>
          <w:lang w:eastAsia="ru-RU"/>
        </w:rPr>
      </w:pPr>
      <w:r w:rsidRPr="00CF6163">
        <w:rPr>
          <w:sz w:val="28"/>
          <w:lang w:eastAsia="ru-RU"/>
        </w:rPr>
        <w:t>города Чебоксары</w:t>
      </w:r>
    </w:p>
    <w:p w:rsidR="00CF6163" w:rsidRPr="00CF6163" w:rsidRDefault="00CF6163" w:rsidP="00F607D2">
      <w:pPr>
        <w:suppressAutoHyphens w:val="0"/>
        <w:autoSpaceDN w:val="0"/>
        <w:adjustRightInd w:val="0"/>
        <w:ind w:firstLine="4678"/>
        <w:outlineLvl w:val="0"/>
        <w:rPr>
          <w:sz w:val="28"/>
          <w:lang w:eastAsia="ru-RU"/>
        </w:rPr>
      </w:pPr>
      <w:r>
        <w:rPr>
          <w:sz w:val="28"/>
          <w:lang w:eastAsia="ru-RU"/>
        </w:rPr>
        <w:t>от</w:t>
      </w:r>
      <w:r w:rsidR="00743704">
        <w:rPr>
          <w:sz w:val="28"/>
          <w:lang w:eastAsia="ru-RU"/>
        </w:rPr>
        <w:t xml:space="preserve"> 25.11.2015</w:t>
      </w:r>
      <w:r>
        <w:rPr>
          <w:sz w:val="28"/>
          <w:lang w:eastAsia="ru-RU"/>
        </w:rPr>
        <w:t xml:space="preserve"> № </w:t>
      </w:r>
      <w:r w:rsidR="00743704">
        <w:rPr>
          <w:sz w:val="28"/>
          <w:lang w:eastAsia="ru-RU"/>
        </w:rPr>
        <w:t>3558</w:t>
      </w:r>
    </w:p>
    <w:p w:rsidR="00CF6163" w:rsidRPr="00CF6163" w:rsidRDefault="00CF6163" w:rsidP="00F607D2">
      <w:pPr>
        <w:suppressAutoHyphens w:val="0"/>
        <w:autoSpaceDN w:val="0"/>
        <w:adjustRightInd w:val="0"/>
        <w:ind w:firstLine="4678"/>
        <w:outlineLvl w:val="0"/>
        <w:rPr>
          <w:sz w:val="28"/>
          <w:lang w:eastAsia="ru-RU"/>
        </w:rPr>
      </w:pPr>
    </w:p>
    <w:p w:rsidR="00F607D2" w:rsidRDefault="00F607D2" w:rsidP="00F607D2">
      <w:pPr>
        <w:widowControl/>
        <w:suppressAutoHyphens w:val="0"/>
        <w:autoSpaceDE/>
        <w:ind w:firstLine="4678"/>
        <w:rPr>
          <w:sz w:val="28"/>
          <w:szCs w:val="28"/>
          <w:lang w:eastAsia="zh-CN"/>
        </w:rPr>
      </w:pPr>
      <w:r w:rsidRPr="00CF6163">
        <w:rPr>
          <w:sz w:val="28"/>
          <w:lang w:eastAsia="ru-RU"/>
        </w:rPr>
        <w:t>УТВЕРЖДЕНО</w:t>
      </w:r>
    </w:p>
    <w:p w:rsidR="00F607D2" w:rsidRDefault="00F607D2" w:rsidP="00F607D2">
      <w:pPr>
        <w:widowControl/>
        <w:suppressAutoHyphens w:val="0"/>
        <w:autoSpaceDE/>
        <w:ind w:firstLine="4678"/>
        <w:rPr>
          <w:sz w:val="28"/>
          <w:szCs w:val="28"/>
          <w:lang w:eastAsia="zh-CN"/>
        </w:rPr>
      </w:pPr>
      <w:r w:rsidRPr="00643C0A">
        <w:rPr>
          <w:sz w:val="28"/>
          <w:szCs w:val="28"/>
          <w:lang w:eastAsia="zh-CN"/>
        </w:rPr>
        <w:t>постановление</w:t>
      </w:r>
      <w:r>
        <w:rPr>
          <w:sz w:val="28"/>
          <w:szCs w:val="28"/>
          <w:lang w:eastAsia="zh-CN"/>
        </w:rPr>
        <w:t xml:space="preserve">м </w:t>
      </w:r>
      <w:r w:rsidRPr="00643C0A">
        <w:rPr>
          <w:sz w:val="28"/>
          <w:szCs w:val="28"/>
          <w:lang w:eastAsia="zh-CN"/>
        </w:rPr>
        <w:t xml:space="preserve">администрации </w:t>
      </w:r>
    </w:p>
    <w:p w:rsidR="00F607D2" w:rsidRDefault="00F607D2" w:rsidP="00F607D2">
      <w:pPr>
        <w:widowControl/>
        <w:suppressAutoHyphens w:val="0"/>
        <w:autoSpaceDE/>
        <w:ind w:firstLine="4678"/>
        <w:rPr>
          <w:sz w:val="28"/>
          <w:szCs w:val="28"/>
          <w:lang w:eastAsia="zh-CN"/>
        </w:rPr>
      </w:pPr>
      <w:r w:rsidRPr="00643C0A">
        <w:rPr>
          <w:sz w:val="28"/>
          <w:szCs w:val="28"/>
          <w:lang w:eastAsia="zh-CN"/>
        </w:rPr>
        <w:t xml:space="preserve">города Чебоксары </w:t>
      </w:r>
    </w:p>
    <w:p w:rsidR="00CF6163" w:rsidRPr="00CF6163" w:rsidRDefault="00F607D2" w:rsidP="00F607D2">
      <w:pPr>
        <w:widowControl/>
        <w:suppressAutoHyphens w:val="0"/>
        <w:autoSpaceDE/>
        <w:ind w:firstLine="4678"/>
        <w:rPr>
          <w:sz w:val="28"/>
          <w:szCs w:val="28"/>
          <w:lang w:eastAsia="ru-RU"/>
        </w:rPr>
      </w:pPr>
      <w:r w:rsidRPr="00643C0A">
        <w:rPr>
          <w:sz w:val="28"/>
          <w:szCs w:val="28"/>
          <w:lang w:eastAsia="zh-CN"/>
        </w:rPr>
        <w:t>от 15.12.2014 № 4242</w:t>
      </w:r>
    </w:p>
    <w:p w:rsidR="00CF6163" w:rsidRPr="00CF6163" w:rsidRDefault="00CF6163" w:rsidP="00F607D2">
      <w:pPr>
        <w:widowControl/>
        <w:suppressAutoHyphens w:val="0"/>
        <w:autoSpaceDE/>
        <w:ind w:left="5103"/>
        <w:rPr>
          <w:sz w:val="28"/>
          <w:szCs w:val="28"/>
          <w:lang w:eastAsia="ru-RU"/>
        </w:rPr>
      </w:pPr>
    </w:p>
    <w:p w:rsidR="00CF6163" w:rsidRPr="00CF6163" w:rsidRDefault="00CF6163" w:rsidP="00F607D2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widowControl/>
        <w:suppressAutoHyphens w:val="0"/>
        <w:autoSpaceDE/>
        <w:spacing w:line="276" w:lineRule="auto"/>
        <w:jc w:val="center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widowControl/>
        <w:suppressAutoHyphens w:val="0"/>
        <w:autoSpaceDE/>
        <w:spacing w:line="276" w:lineRule="auto"/>
        <w:jc w:val="center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widowControl/>
        <w:suppressAutoHyphens w:val="0"/>
        <w:autoSpaceDE/>
        <w:spacing w:line="276" w:lineRule="auto"/>
        <w:jc w:val="center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widowControl/>
        <w:suppressAutoHyphens w:val="0"/>
        <w:autoSpaceDE/>
        <w:spacing w:line="276" w:lineRule="auto"/>
        <w:jc w:val="center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widowControl/>
        <w:suppressAutoHyphens w:val="0"/>
        <w:autoSpaceDE/>
        <w:spacing w:line="276" w:lineRule="auto"/>
        <w:jc w:val="center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widowControl/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/>
        </w:rPr>
      </w:pPr>
      <w:r w:rsidRPr="00CF6163">
        <w:rPr>
          <w:b/>
          <w:sz w:val="28"/>
          <w:szCs w:val="28"/>
          <w:lang w:eastAsia="ru-RU"/>
        </w:rPr>
        <w:t>Техническое задание</w:t>
      </w:r>
    </w:p>
    <w:p w:rsidR="00CF6163" w:rsidRPr="00CF6163" w:rsidRDefault="00CF6163" w:rsidP="00CF6163">
      <w:pPr>
        <w:widowControl/>
        <w:suppressAutoHyphens w:val="0"/>
        <w:autoSpaceDE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CF6163">
        <w:rPr>
          <w:b/>
          <w:bCs/>
          <w:kern w:val="36"/>
          <w:sz w:val="28"/>
          <w:szCs w:val="28"/>
          <w:lang w:eastAsia="ru-RU"/>
        </w:rPr>
        <w:t>на разработку инвестиционной программы филиала ЗАО «Управление отходами» в г. Новочебоксарск по развитию объектов, используемых для утилизации (захоронения) твердых бытовых отходов на строящемся полигоне ТБО в г. Новочебоксарск и мусороперегрузочной станции в</w:t>
      </w:r>
      <w:r>
        <w:rPr>
          <w:b/>
          <w:bCs/>
          <w:kern w:val="36"/>
          <w:sz w:val="28"/>
          <w:szCs w:val="28"/>
          <w:lang w:eastAsia="ru-RU"/>
        </w:rPr>
        <w:t xml:space="preserve">     </w:t>
      </w:r>
      <w:r w:rsidRPr="00CF6163">
        <w:rPr>
          <w:b/>
          <w:bCs/>
          <w:kern w:val="36"/>
          <w:sz w:val="28"/>
          <w:szCs w:val="28"/>
          <w:lang w:eastAsia="ru-RU"/>
        </w:rPr>
        <w:t xml:space="preserve"> г. Чебоксары в рамках реализации подписанного концессионного соглашения </w:t>
      </w:r>
      <w:r w:rsidRPr="00CF6163">
        <w:rPr>
          <w:b/>
          <w:kern w:val="36"/>
          <w:sz w:val="28"/>
          <w:szCs w:val="28"/>
          <w:lang w:eastAsia="en-US"/>
        </w:rPr>
        <w:t>в отношении коммунальной инфраструктуры межмуниципальной системы переработки и утилизации (захоронения) твёрдых бытовых отходов на территории Чувашской Республики</w:t>
      </w:r>
      <w:r w:rsidRPr="00CF6163">
        <w:rPr>
          <w:b/>
          <w:bCs/>
          <w:kern w:val="36"/>
          <w:sz w:val="28"/>
          <w:szCs w:val="28"/>
          <w:lang w:eastAsia="ru-RU"/>
        </w:rPr>
        <w:t>, на 201</w:t>
      </w:r>
      <w:r>
        <w:rPr>
          <w:b/>
          <w:bCs/>
          <w:kern w:val="36"/>
          <w:sz w:val="28"/>
          <w:szCs w:val="28"/>
          <w:lang w:eastAsia="ru-RU"/>
        </w:rPr>
        <w:t>6 - 2022</w:t>
      </w:r>
      <w:r w:rsidRPr="00CF6163">
        <w:rPr>
          <w:b/>
          <w:bCs/>
          <w:kern w:val="36"/>
          <w:sz w:val="28"/>
          <w:szCs w:val="28"/>
          <w:lang w:eastAsia="ru-RU"/>
        </w:rPr>
        <w:t xml:space="preserve"> годы»</w:t>
      </w: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spacing w:before="322" w:line="322" w:lineRule="exact"/>
        <w:ind w:right="1075"/>
        <w:rPr>
          <w:color w:val="000000"/>
          <w:spacing w:val="-4"/>
          <w:sz w:val="28"/>
          <w:szCs w:val="28"/>
          <w:lang w:eastAsia="ru-RU"/>
        </w:rPr>
      </w:pPr>
    </w:p>
    <w:p w:rsidR="00CF6163" w:rsidRDefault="00CF6163" w:rsidP="00CF6163">
      <w:pPr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F6163">
        <w:rPr>
          <w:color w:val="000000"/>
          <w:spacing w:val="-4"/>
          <w:sz w:val="28"/>
          <w:szCs w:val="28"/>
          <w:lang w:eastAsia="ru-RU"/>
        </w:rPr>
        <w:t>г. Чебоксары</w:t>
      </w:r>
    </w:p>
    <w:p w:rsidR="00CF6163" w:rsidRDefault="00CF6163" w:rsidP="00CF6163">
      <w:pPr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CF6163">
        <w:rPr>
          <w:b/>
          <w:bCs/>
          <w:color w:val="000000"/>
          <w:sz w:val="28"/>
          <w:szCs w:val="28"/>
          <w:lang w:eastAsia="ru-RU"/>
        </w:rPr>
        <w:lastRenderedPageBreak/>
        <w:t>1. Основания для разработки технического задания</w:t>
      </w:r>
    </w:p>
    <w:p w:rsidR="00CF6163" w:rsidRPr="00CF6163" w:rsidRDefault="00CF6163" w:rsidP="00F607D2">
      <w:pPr>
        <w:keepNext/>
        <w:widowControl/>
        <w:tabs>
          <w:tab w:val="left" w:pos="1185"/>
        </w:tabs>
        <w:suppressAutoHyphens w:val="0"/>
        <w:autoSpaceDE/>
        <w:ind w:firstLine="709"/>
        <w:jc w:val="both"/>
        <w:outlineLvl w:val="0"/>
        <w:rPr>
          <w:color w:val="000000"/>
          <w:sz w:val="28"/>
          <w:szCs w:val="28"/>
          <w:lang w:val="x-none" w:eastAsia="x-none"/>
        </w:rPr>
      </w:pPr>
      <w:r w:rsidRPr="00CF6163">
        <w:rPr>
          <w:sz w:val="28"/>
          <w:szCs w:val="28"/>
          <w:lang w:eastAsia="ru-RU"/>
        </w:rPr>
        <w:t xml:space="preserve">Техническое задание на разработку инвестиционной программы </w:t>
      </w:r>
      <w:r w:rsidRPr="00CF6163">
        <w:rPr>
          <w:sz w:val="28"/>
          <w:szCs w:val="28"/>
          <w:lang w:val="x-none" w:eastAsia="ru-RU"/>
        </w:rPr>
        <w:t>филиала ЗАО «Управление отходами» в г. Новочебоксарск</w:t>
      </w:r>
      <w:r w:rsidRPr="00CF6163">
        <w:rPr>
          <w:sz w:val="28"/>
          <w:szCs w:val="28"/>
          <w:lang w:eastAsia="ru-RU"/>
        </w:rPr>
        <w:t xml:space="preserve"> по</w:t>
      </w:r>
      <w:r w:rsidRPr="00CF6163">
        <w:rPr>
          <w:sz w:val="28"/>
          <w:szCs w:val="28"/>
          <w:lang w:val="x-none" w:eastAsia="ru-RU"/>
        </w:rPr>
        <w:t xml:space="preserve"> </w:t>
      </w:r>
      <w:r w:rsidRPr="00CF6163">
        <w:rPr>
          <w:sz w:val="28"/>
          <w:szCs w:val="28"/>
          <w:lang w:eastAsia="ru-RU"/>
        </w:rPr>
        <w:t>развитию объектов, используемых для утилизации (захоронения) твердых бытовых отходов</w:t>
      </w:r>
      <w:r w:rsidRPr="00CF6163">
        <w:rPr>
          <w:sz w:val="28"/>
          <w:szCs w:val="28"/>
          <w:lang w:val="x-none" w:eastAsia="ru-RU"/>
        </w:rPr>
        <w:t xml:space="preserve"> на строящемся полигоне ТБО в г. Новочебоксарск и мусороперегрузочной станции в г. Чебоксары в рамках реализации подписанного концессионного соглашения </w:t>
      </w:r>
      <w:r w:rsidRPr="00CF6163">
        <w:rPr>
          <w:sz w:val="28"/>
          <w:szCs w:val="28"/>
          <w:lang w:eastAsia="ru-RU"/>
        </w:rPr>
        <w:t xml:space="preserve">в отношении коммунальной инфраструктуры межмуниципальной системы переработки и утилизации (захоронения) твёрдых бытовых отходов на территории Чувашской Республики, на 2016 - 2022 годы </w:t>
      </w:r>
      <w:r w:rsidRPr="00CF6163">
        <w:rPr>
          <w:color w:val="000000"/>
          <w:sz w:val="28"/>
          <w:szCs w:val="28"/>
          <w:lang w:val="x-none" w:eastAsia="x-none"/>
        </w:rPr>
        <w:t xml:space="preserve"> (далее - Техническое задание) разработано в соответствии со следующими нормативн</w:t>
      </w:r>
      <w:r w:rsidR="00F607D2">
        <w:rPr>
          <w:color w:val="000000"/>
          <w:sz w:val="28"/>
          <w:szCs w:val="28"/>
          <w:lang w:eastAsia="x-none"/>
        </w:rPr>
        <w:t xml:space="preserve">ыми </w:t>
      </w:r>
      <w:r w:rsidRPr="00CF6163">
        <w:rPr>
          <w:color w:val="000000"/>
          <w:sz w:val="28"/>
          <w:szCs w:val="28"/>
          <w:lang w:val="x-none" w:eastAsia="x-none"/>
        </w:rPr>
        <w:t>правовыми актами:</w:t>
      </w:r>
    </w:p>
    <w:p w:rsidR="00CF6163" w:rsidRPr="00CF6163" w:rsidRDefault="00CF6163" w:rsidP="00CF6163">
      <w:pPr>
        <w:shd w:val="clear" w:color="auto" w:fill="FFFFFF"/>
        <w:tabs>
          <w:tab w:val="left" w:pos="763"/>
          <w:tab w:val="left" w:pos="1134"/>
        </w:tabs>
        <w:suppressAutoHyphens w:val="0"/>
        <w:autoSpaceDN w:val="0"/>
        <w:adjustRightInd w:val="0"/>
        <w:ind w:right="1" w:firstLine="851"/>
        <w:jc w:val="both"/>
        <w:rPr>
          <w:color w:val="000000"/>
          <w:sz w:val="28"/>
          <w:szCs w:val="28"/>
          <w:lang w:eastAsia="ru-RU"/>
        </w:rPr>
      </w:pPr>
      <w:r w:rsidRPr="00CF6163">
        <w:rPr>
          <w:color w:val="000000"/>
          <w:sz w:val="28"/>
          <w:szCs w:val="28"/>
          <w:lang w:eastAsia="ru-RU"/>
        </w:rPr>
        <w:t>-</w:t>
      </w:r>
      <w:r w:rsidRPr="00CF6163">
        <w:rPr>
          <w:color w:val="000000"/>
          <w:sz w:val="28"/>
          <w:szCs w:val="28"/>
          <w:lang w:eastAsia="ru-RU"/>
        </w:rPr>
        <w:tab/>
        <w:t xml:space="preserve">Градостроительным кодексом Российской </w:t>
      </w:r>
      <w:r w:rsidR="00F607D2">
        <w:rPr>
          <w:color w:val="000000"/>
          <w:sz w:val="28"/>
          <w:szCs w:val="28"/>
          <w:lang w:eastAsia="ru-RU"/>
        </w:rPr>
        <w:t>Ф</w:t>
      </w:r>
      <w:r w:rsidRPr="00CF6163">
        <w:rPr>
          <w:color w:val="000000"/>
          <w:sz w:val="28"/>
          <w:szCs w:val="28"/>
          <w:lang w:eastAsia="ru-RU"/>
        </w:rPr>
        <w:t>едерации;</w:t>
      </w:r>
    </w:p>
    <w:p w:rsidR="00CF6163" w:rsidRPr="00CF6163" w:rsidRDefault="00CF6163" w:rsidP="00CF6163">
      <w:pPr>
        <w:numPr>
          <w:ilvl w:val="0"/>
          <w:numId w:val="2"/>
        </w:numPr>
        <w:shd w:val="clear" w:color="auto" w:fill="FFFFFF"/>
        <w:tabs>
          <w:tab w:val="left" w:pos="763"/>
        </w:tabs>
        <w:suppressAutoHyphens w:val="0"/>
        <w:autoSpaceDN w:val="0"/>
        <w:adjustRightInd w:val="0"/>
        <w:ind w:right="1" w:firstLine="851"/>
        <w:jc w:val="both"/>
        <w:rPr>
          <w:color w:val="000000"/>
          <w:sz w:val="28"/>
          <w:szCs w:val="28"/>
          <w:lang w:eastAsia="ru-RU"/>
        </w:rPr>
      </w:pPr>
      <w:r w:rsidRPr="00CF6163">
        <w:rPr>
          <w:color w:val="000000"/>
          <w:sz w:val="28"/>
          <w:szCs w:val="28"/>
          <w:lang w:eastAsia="ru-RU"/>
        </w:rPr>
        <w:t>Федеральным законом от 30.12.2004 №</w:t>
      </w:r>
      <w:r w:rsidR="00AB149C">
        <w:rPr>
          <w:color w:val="000000"/>
          <w:sz w:val="28"/>
          <w:szCs w:val="28"/>
          <w:lang w:eastAsia="ru-RU"/>
        </w:rPr>
        <w:t xml:space="preserve"> </w:t>
      </w:r>
      <w:r w:rsidRPr="00CF6163">
        <w:rPr>
          <w:color w:val="000000"/>
          <w:sz w:val="28"/>
          <w:szCs w:val="28"/>
          <w:lang w:eastAsia="ru-RU"/>
        </w:rPr>
        <w:t>210-ФЗ «Об основах регулирования тарифов организаций коммунального комплекса»;</w:t>
      </w:r>
    </w:p>
    <w:p w:rsidR="00CF6163" w:rsidRDefault="002C765F" w:rsidP="00CF6163">
      <w:pPr>
        <w:numPr>
          <w:ilvl w:val="0"/>
          <w:numId w:val="2"/>
        </w:numPr>
        <w:shd w:val="clear" w:color="auto" w:fill="FFFFFF"/>
        <w:tabs>
          <w:tab w:val="left" w:pos="763"/>
        </w:tabs>
        <w:suppressAutoHyphens w:val="0"/>
        <w:autoSpaceDN w:val="0"/>
        <w:adjustRightInd w:val="0"/>
        <w:ind w:right="1" w:firstLine="851"/>
        <w:jc w:val="both"/>
        <w:rPr>
          <w:sz w:val="28"/>
          <w:szCs w:val="28"/>
          <w:lang w:eastAsia="ru-RU"/>
        </w:rPr>
      </w:pPr>
      <w:hyperlink r:id="rId11" w:history="1">
        <w:r w:rsidR="001F377A">
          <w:rPr>
            <w:sz w:val="28"/>
            <w:szCs w:val="28"/>
            <w:lang w:eastAsia="ru-RU"/>
          </w:rPr>
          <w:t>п</w:t>
        </w:r>
        <w:r w:rsidR="00CF6163" w:rsidRPr="00CF6163">
          <w:rPr>
            <w:sz w:val="28"/>
            <w:szCs w:val="28"/>
            <w:lang w:eastAsia="ru-RU"/>
          </w:rPr>
          <w:t>риказ</w:t>
        </w:r>
      </w:hyperlink>
      <w:r w:rsidR="00CF6163" w:rsidRPr="00CF6163">
        <w:rPr>
          <w:sz w:val="28"/>
          <w:szCs w:val="28"/>
          <w:lang w:eastAsia="ru-RU"/>
        </w:rPr>
        <w:t>ом Министерства регионального развития Российской Федерации от 10.10.2007 №</w:t>
      </w:r>
      <w:r w:rsidR="00AB149C">
        <w:rPr>
          <w:sz w:val="28"/>
          <w:szCs w:val="28"/>
          <w:lang w:eastAsia="ru-RU"/>
        </w:rPr>
        <w:t xml:space="preserve"> </w:t>
      </w:r>
      <w:r w:rsidR="00CF6163" w:rsidRPr="00CF6163">
        <w:rPr>
          <w:sz w:val="28"/>
          <w:szCs w:val="28"/>
          <w:lang w:eastAsia="ru-RU"/>
        </w:rPr>
        <w:t>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AB149C" w:rsidRDefault="001F377A" w:rsidP="00CF6163">
      <w:pPr>
        <w:numPr>
          <w:ilvl w:val="0"/>
          <w:numId w:val="2"/>
        </w:numPr>
        <w:shd w:val="clear" w:color="auto" w:fill="FFFFFF"/>
        <w:tabs>
          <w:tab w:val="left" w:pos="763"/>
        </w:tabs>
        <w:suppressAutoHyphens w:val="0"/>
        <w:autoSpaceDN w:val="0"/>
        <w:adjustRightInd w:val="0"/>
        <w:ind w:right="1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AB149C" w:rsidRPr="00643C0A">
        <w:rPr>
          <w:sz w:val="28"/>
          <w:szCs w:val="28"/>
          <w:lang w:eastAsia="ru-RU"/>
        </w:rPr>
        <w:t>остановлением администрации города Чебоксары от 29.10.2013</w:t>
      </w:r>
      <w:r w:rsidR="00AB149C">
        <w:rPr>
          <w:sz w:val="28"/>
          <w:szCs w:val="28"/>
          <w:lang w:eastAsia="ru-RU"/>
        </w:rPr>
        <w:t xml:space="preserve">   </w:t>
      </w:r>
      <w:r w:rsidR="00AB149C" w:rsidRPr="00643C0A">
        <w:rPr>
          <w:sz w:val="28"/>
          <w:szCs w:val="28"/>
          <w:lang w:eastAsia="ru-RU"/>
        </w:rPr>
        <w:t xml:space="preserve"> № 3524 «О порядке разработки и утверждения технических заданий по подготовке инвестиционных программ организаций коммунального комплекса, осуществляющих эксплуатацию систем коммунальной инфраструктуры и (или) объектов, </w:t>
      </w:r>
      <w:r w:rsidR="00AB149C" w:rsidRPr="00643C0A">
        <w:rPr>
          <w:bCs/>
          <w:sz w:val="28"/>
          <w:szCs w:val="28"/>
          <w:lang w:eastAsia="ru-RU"/>
        </w:rPr>
        <w:t>используемых для утилизации, обезвреживания и захоронения твердых бытовых отходов</w:t>
      </w:r>
      <w:r w:rsidR="00AB149C" w:rsidRPr="00643C0A">
        <w:rPr>
          <w:sz w:val="28"/>
          <w:szCs w:val="28"/>
          <w:lang w:eastAsia="ru-RU"/>
        </w:rPr>
        <w:t>, на территории муниципального образования города Чебоксары»</w:t>
      </w:r>
      <w:r w:rsidR="00AB149C">
        <w:rPr>
          <w:sz w:val="28"/>
          <w:szCs w:val="28"/>
          <w:lang w:eastAsia="ru-RU"/>
        </w:rPr>
        <w:t>;</w:t>
      </w:r>
    </w:p>
    <w:p w:rsidR="00AB149C" w:rsidRPr="00CF6163" w:rsidRDefault="001F377A" w:rsidP="00CF6163">
      <w:pPr>
        <w:numPr>
          <w:ilvl w:val="0"/>
          <w:numId w:val="2"/>
        </w:numPr>
        <w:shd w:val="clear" w:color="auto" w:fill="FFFFFF"/>
        <w:tabs>
          <w:tab w:val="left" w:pos="763"/>
        </w:tabs>
        <w:suppressAutoHyphens w:val="0"/>
        <w:autoSpaceDN w:val="0"/>
        <w:adjustRightInd w:val="0"/>
        <w:ind w:right="1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AB149C" w:rsidRPr="00643C0A">
        <w:rPr>
          <w:sz w:val="28"/>
          <w:szCs w:val="28"/>
          <w:lang w:eastAsia="ru-RU"/>
        </w:rPr>
        <w:t xml:space="preserve">остановлением администрации города Чебоксары от </w:t>
      </w:r>
      <w:r w:rsidR="00AB149C">
        <w:rPr>
          <w:sz w:val="28"/>
          <w:szCs w:val="28"/>
          <w:lang w:eastAsia="ru-RU"/>
        </w:rPr>
        <w:t xml:space="preserve">31.03.2015   </w:t>
      </w:r>
      <w:r w:rsidR="00AB149C" w:rsidRPr="00643C0A">
        <w:rPr>
          <w:sz w:val="28"/>
          <w:szCs w:val="28"/>
          <w:lang w:eastAsia="ru-RU"/>
        </w:rPr>
        <w:t xml:space="preserve"> № </w:t>
      </w:r>
      <w:r w:rsidR="00AB149C">
        <w:rPr>
          <w:sz w:val="28"/>
          <w:szCs w:val="28"/>
          <w:lang w:eastAsia="ru-RU"/>
        </w:rPr>
        <w:t>1242</w:t>
      </w:r>
      <w:r w:rsidR="00AB149C" w:rsidRPr="00643C0A">
        <w:rPr>
          <w:sz w:val="28"/>
          <w:szCs w:val="28"/>
          <w:lang w:eastAsia="ru-RU"/>
        </w:rPr>
        <w:t xml:space="preserve"> «О</w:t>
      </w:r>
      <w:r w:rsidR="00AB149C">
        <w:rPr>
          <w:sz w:val="28"/>
          <w:szCs w:val="28"/>
          <w:lang w:eastAsia="ru-RU"/>
        </w:rPr>
        <w:t xml:space="preserve"> программе комплексного развития систем коммунальной инфраструктуры города Чебоксары на 2015-2017 годы»;</w:t>
      </w:r>
    </w:p>
    <w:p w:rsidR="00CF6163" w:rsidRPr="00214360" w:rsidRDefault="00CF6163" w:rsidP="00CF6163">
      <w:pPr>
        <w:numPr>
          <w:ilvl w:val="0"/>
          <w:numId w:val="2"/>
        </w:numPr>
        <w:shd w:val="clear" w:color="auto" w:fill="FFFFFF"/>
        <w:tabs>
          <w:tab w:val="left" w:pos="763"/>
        </w:tabs>
        <w:suppressAutoHyphens w:val="0"/>
        <w:autoSpaceDN w:val="0"/>
        <w:adjustRightInd w:val="0"/>
        <w:ind w:right="1" w:firstLine="851"/>
        <w:jc w:val="both"/>
        <w:rPr>
          <w:color w:val="000000"/>
          <w:sz w:val="28"/>
          <w:szCs w:val="28"/>
          <w:lang w:eastAsia="ru-RU"/>
        </w:rPr>
      </w:pPr>
      <w:r w:rsidRPr="00214360">
        <w:rPr>
          <w:color w:val="000000"/>
          <w:sz w:val="28"/>
          <w:szCs w:val="28"/>
          <w:lang w:eastAsia="ru-RU"/>
        </w:rPr>
        <w:t>Генеральным планом г.</w:t>
      </w:r>
      <w:r w:rsidR="001F377A">
        <w:rPr>
          <w:color w:val="000000"/>
          <w:sz w:val="28"/>
          <w:szCs w:val="28"/>
          <w:lang w:eastAsia="ru-RU"/>
        </w:rPr>
        <w:t> </w:t>
      </w:r>
      <w:r w:rsidRPr="00214360">
        <w:rPr>
          <w:color w:val="000000"/>
          <w:sz w:val="28"/>
          <w:szCs w:val="28"/>
          <w:lang w:eastAsia="ru-RU"/>
        </w:rPr>
        <w:t>Чебоксары, утвержденным решением Чебоксарского городского Со</w:t>
      </w:r>
      <w:r w:rsidR="00214360" w:rsidRPr="00214360">
        <w:rPr>
          <w:color w:val="000000"/>
          <w:sz w:val="28"/>
          <w:szCs w:val="28"/>
          <w:lang w:eastAsia="ru-RU"/>
        </w:rPr>
        <w:t>брания депутатов от 23.12.2014 № 1787</w:t>
      </w:r>
      <w:r w:rsidRPr="00214360">
        <w:rPr>
          <w:color w:val="000000"/>
          <w:sz w:val="28"/>
          <w:szCs w:val="28"/>
          <w:lang w:eastAsia="ru-RU"/>
        </w:rPr>
        <w:t>.</w:t>
      </w:r>
    </w:p>
    <w:p w:rsidR="00CF6163" w:rsidRPr="00CF6163" w:rsidRDefault="00CF6163" w:rsidP="00CF6163">
      <w:pPr>
        <w:shd w:val="clear" w:color="auto" w:fill="FFFFFF"/>
        <w:tabs>
          <w:tab w:val="left" w:pos="763"/>
        </w:tabs>
        <w:suppressAutoHyphens w:val="0"/>
        <w:autoSpaceDN w:val="0"/>
        <w:adjustRightInd w:val="0"/>
        <w:ind w:right="1"/>
        <w:jc w:val="both"/>
        <w:rPr>
          <w:color w:val="000000"/>
          <w:sz w:val="28"/>
          <w:szCs w:val="28"/>
          <w:lang w:eastAsia="ru-RU"/>
        </w:rPr>
      </w:pP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CF6163">
        <w:rPr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разработки</w:t>
      </w: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CF6163">
        <w:rPr>
          <w:b/>
          <w:bCs/>
          <w:color w:val="000000"/>
          <w:sz w:val="28"/>
          <w:szCs w:val="28"/>
          <w:lang w:eastAsia="ru-RU"/>
        </w:rPr>
        <w:t>Инвестиционной программы</w:t>
      </w:r>
    </w:p>
    <w:p w:rsidR="00CF6163" w:rsidRPr="004443CD" w:rsidRDefault="00CF6163" w:rsidP="004443CD">
      <w:pPr>
        <w:shd w:val="clear" w:color="auto" w:fill="FFFFFF"/>
        <w:suppressAutoHyphens w:val="0"/>
        <w:autoSpaceDN w:val="0"/>
        <w:adjustRightInd w:val="0"/>
        <w:ind w:right="1" w:firstLine="851"/>
        <w:jc w:val="both"/>
        <w:rPr>
          <w:sz w:val="28"/>
          <w:szCs w:val="28"/>
          <w:lang w:eastAsia="ru-RU"/>
        </w:rPr>
      </w:pPr>
      <w:r w:rsidRPr="00CF6163">
        <w:rPr>
          <w:color w:val="000000"/>
          <w:sz w:val="28"/>
          <w:szCs w:val="28"/>
          <w:lang w:eastAsia="ru-RU"/>
        </w:rPr>
        <w:t xml:space="preserve">Необходимость в разработке и реализации инвестиционной программы филиала ЗАО «Управление отходами» в г. Новочебоксарск </w:t>
      </w:r>
      <w:r w:rsidRPr="00CF6163">
        <w:rPr>
          <w:sz w:val="28"/>
          <w:szCs w:val="28"/>
          <w:lang w:eastAsia="ru-RU"/>
        </w:rPr>
        <w:t xml:space="preserve">по развитию объектов, используемых для утилизации (захоронения) твердых бытовых отходов на строящемся полигоне ТБО в г. Новочебоксарск и мусороперегрузочной станции в г. Чебоксары </w:t>
      </w:r>
      <w:r w:rsidR="004443CD">
        <w:rPr>
          <w:sz w:val="28"/>
          <w:szCs w:val="28"/>
          <w:lang w:eastAsia="ru-RU"/>
        </w:rPr>
        <w:t>вызвана проблемой</w:t>
      </w:r>
      <w:r w:rsidRPr="00CF6163">
        <w:rPr>
          <w:sz w:val="28"/>
          <w:szCs w:val="28"/>
          <w:lang w:eastAsia="ru-RU"/>
        </w:rPr>
        <w:t xml:space="preserve"> переполнения </w:t>
      </w:r>
      <w:proofErr w:type="spellStart"/>
      <w:r w:rsidRPr="00CF6163">
        <w:rPr>
          <w:sz w:val="28"/>
          <w:szCs w:val="28"/>
          <w:lang w:eastAsia="ru-RU"/>
        </w:rPr>
        <w:t>Пихтулинской</w:t>
      </w:r>
      <w:proofErr w:type="spellEnd"/>
      <w:r w:rsidRPr="00CF6163">
        <w:rPr>
          <w:sz w:val="28"/>
          <w:szCs w:val="28"/>
          <w:lang w:eastAsia="ru-RU"/>
        </w:rPr>
        <w:t xml:space="preserve"> свалки, необходимость строительства нового объекта для утилизации</w:t>
      </w:r>
      <w:r w:rsidR="004443CD">
        <w:rPr>
          <w:sz w:val="28"/>
          <w:szCs w:val="28"/>
          <w:lang w:eastAsia="ru-RU"/>
        </w:rPr>
        <w:t xml:space="preserve"> отходов</w:t>
      </w:r>
      <w:r w:rsidR="00214360">
        <w:rPr>
          <w:sz w:val="28"/>
          <w:szCs w:val="28"/>
          <w:lang w:eastAsia="ru-RU"/>
        </w:rPr>
        <w:t>.</w:t>
      </w:r>
      <w:r w:rsidRPr="00CF6163">
        <w:rPr>
          <w:sz w:val="28"/>
          <w:szCs w:val="28"/>
          <w:lang w:eastAsia="ru-RU"/>
        </w:rPr>
        <w:t xml:space="preserve"> </w:t>
      </w:r>
      <w:r w:rsidR="00214360">
        <w:rPr>
          <w:sz w:val="28"/>
          <w:szCs w:val="28"/>
          <w:lang w:eastAsia="ru-RU"/>
        </w:rPr>
        <w:t>В соответствии с распоряжением</w:t>
      </w:r>
      <w:r w:rsidR="00214360">
        <w:rPr>
          <w:bCs/>
          <w:sz w:val="28"/>
          <w:szCs w:val="28"/>
          <w:lang w:eastAsia="en-US"/>
        </w:rPr>
        <w:t xml:space="preserve"> </w:t>
      </w:r>
      <w:r w:rsidRPr="00CF6163">
        <w:rPr>
          <w:bCs/>
          <w:sz w:val="28"/>
          <w:szCs w:val="28"/>
          <w:lang w:eastAsia="en-US"/>
        </w:rPr>
        <w:t>Кабинета Министров Чуваш</w:t>
      </w:r>
      <w:r w:rsidR="00F607D2">
        <w:rPr>
          <w:bCs/>
          <w:sz w:val="28"/>
          <w:szCs w:val="28"/>
          <w:lang w:eastAsia="en-US"/>
        </w:rPr>
        <w:t>ской Республики от 08.10.2013 № </w:t>
      </w:r>
      <w:r w:rsidRPr="00CF6163">
        <w:rPr>
          <w:bCs/>
          <w:sz w:val="28"/>
          <w:szCs w:val="28"/>
          <w:lang w:eastAsia="en-US"/>
        </w:rPr>
        <w:t>583-р «О концессионном соглашении в отношении коммунальной инфраструктуры межмуниципальной системы переработки и утилизации (захоронения) твёрдых бытовых отходов на т</w:t>
      </w:r>
      <w:r w:rsidR="00214360">
        <w:rPr>
          <w:bCs/>
          <w:sz w:val="28"/>
          <w:szCs w:val="28"/>
          <w:lang w:eastAsia="en-US"/>
        </w:rPr>
        <w:t xml:space="preserve">ерритории Чувашской Республики» заключено концессионное соглашение между Министерством природных ресурсов и </w:t>
      </w:r>
      <w:r w:rsidR="00214360">
        <w:rPr>
          <w:bCs/>
          <w:sz w:val="28"/>
          <w:szCs w:val="28"/>
          <w:lang w:eastAsia="en-US"/>
        </w:rPr>
        <w:lastRenderedPageBreak/>
        <w:t>экологии Чувашской Республики и ЗАО «Управление отходами» в                      г. Новочебоксарск.</w:t>
      </w:r>
    </w:p>
    <w:p w:rsidR="00CF6163" w:rsidRPr="00CF6163" w:rsidRDefault="00CF6163" w:rsidP="00CF6163">
      <w:pPr>
        <w:tabs>
          <w:tab w:val="num" w:pos="540"/>
        </w:tabs>
        <w:suppressAutoHyphens w:val="0"/>
        <w:autoSpaceDN w:val="0"/>
        <w:adjustRightInd w:val="0"/>
        <w:ind w:right="-40" w:firstLine="567"/>
        <w:jc w:val="both"/>
        <w:rPr>
          <w:bCs/>
          <w:sz w:val="28"/>
          <w:szCs w:val="28"/>
          <w:lang w:eastAsia="en-US"/>
        </w:rPr>
      </w:pPr>
      <w:r w:rsidRPr="00CF6163">
        <w:rPr>
          <w:bCs/>
          <w:sz w:val="28"/>
          <w:szCs w:val="28"/>
          <w:lang w:eastAsia="en-US"/>
        </w:rPr>
        <w:t>Объектом вышеуказанного Концессионного соглашения является предприятие (имущественный комплекс)</w:t>
      </w:r>
      <w:r w:rsidR="00F607D2">
        <w:rPr>
          <w:bCs/>
          <w:sz w:val="28"/>
          <w:szCs w:val="28"/>
          <w:lang w:eastAsia="en-US"/>
        </w:rPr>
        <w:t>,</w:t>
      </w:r>
      <w:r w:rsidRPr="00CF6163">
        <w:rPr>
          <w:bCs/>
          <w:sz w:val="28"/>
          <w:szCs w:val="28"/>
          <w:lang w:eastAsia="en-US"/>
        </w:rPr>
        <w:t xml:space="preserve"> состоящее из следующих объектов: 2-ая карта складирования полигона захоронения твёрдых бытовых отходов (ТБО) (её мощность составляет не менее 100 000 (ста тысяч) тонн в год), мусоросортировочный комплекс (суммарный объем переработки и сортировки ТБО не менее 150 000 (ста пятидесяти тысяч) тонн в год) и мусороперегрузочная станция (суммарный объем переработки и сортировки ТБО не менее 150 000 (ста пятидесяти тысяч) тонн в год), которые создаются как система коммунальной инфраструктуры - межмуниципальной системы переработки и утилизации (захоронения) твёрдых бытовых отходов на территории Чувашской Республики для обслуживания территории трёх муниципальных образований Чувашской Республики: г.</w:t>
      </w:r>
      <w:r w:rsidR="00F607D2">
        <w:t> </w:t>
      </w:r>
      <w:r w:rsidRPr="00CF6163">
        <w:rPr>
          <w:bCs/>
          <w:sz w:val="28"/>
          <w:szCs w:val="28"/>
          <w:lang w:eastAsia="en-US"/>
        </w:rPr>
        <w:t>Чебоксары, г. Новочебоксарск и Чебоксарский район.</w:t>
      </w: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ind w:right="1" w:firstLine="851"/>
        <w:jc w:val="both"/>
        <w:rPr>
          <w:color w:val="000000"/>
          <w:sz w:val="28"/>
          <w:szCs w:val="28"/>
          <w:lang w:eastAsia="ru-RU"/>
        </w:rPr>
      </w:pPr>
      <w:r w:rsidRPr="00CF6163">
        <w:rPr>
          <w:color w:val="000000"/>
          <w:sz w:val="28"/>
          <w:szCs w:val="28"/>
          <w:lang w:eastAsia="ru-RU"/>
        </w:rPr>
        <w:t>Инвестиционная программа является основанием для определения величины инвестиционной надбавки к тарифу на утилизацию (захоронение) твер</w:t>
      </w:r>
      <w:r w:rsidR="00476D9C">
        <w:rPr>
          <w:color w:val="000000"/>
          <w:sz w:val="28"/>
          <w:szCs w:val="28"/>
          <w:lang w:eastAsia="ru-RU"/>
        </w:rPr>
        <w:t>дых бытовых отходов на 2016-2022</w:t>
      </w:r>
      <w:r w:rsidRPr="00CF6163">
        <w:rPr>
          <w:color w:val="000000"/>
          <w:sz w:val="28"/>
          <w:szCs w:val="28"/>
          <w:lang w:eastAsia="ru-RU"/>
        </w:rPr>
        <w:t xml:space="preserve"> годы.</w:t>
      </w:r>
    </w:p>
    <w:p w:rsidR="00CF6163" w:rsidRPr="00CF6163" w:rsidRDefault="00CF6163" w:rsidP="00CF6163">
      <w:pPr>
        <w:shd w:val="clear" w:color="auto" w:fill="FFFFFF"/>
        <w:suppressAutoHyphens w:val="0"/>
        <w:autoSpaceDN w:val="0"/>
        <w:adjustRightInd w:val="0"/>
        <w:ind w:right="1" w:firstLine="851"/>
        <w:jc w:val="both"/>
        <w:rPr>
          <w:color w:val="000000"/>
          <w:sz w:val="28"/>
          <w:szCs w:val="28"/>
          <w:lang w:eastAsia="ru-RU"/>
        </w:rPr>
      </w:pPr>
    </w:p>
    <w:p w:rsidR="00CF6163" w:rsidRPr="00CF6163" w:rsidRDefault="00CF6163" w:rsidP="004219A9">
      <w:pPr>
        <w:shd w:val="clear" w:color="auto" w:fill="FFFFFF"/>
        <w:suppressAutoHyphens w:val="0"/>
        <w:autoSpaceDN w:val="0"/>
        <w:adjustRightInd w:val="0"/>
        <w:ind w:right="1" w:firstLine="709"/>
        <w:jc w:val="center"/>
        <w:rPr>
          <w:b/>
          <w:bCs/>
          <w:sz w:val="28"/>
          <w:szCs w:val="28"/>
          <w:lang w:eastAsia="ru-RU"/>
        </w:rPr>
      </w:pPr>
      <w:r w:rsidRPr="00CF6163">
        <w:rPr>
          <w:b/>
          <w:bCs/>
          <w:color w:val="000000"/>
          <w:sz w:val="28"/>
          <w:szCs w:val="28"/>
          <w:lang w:eastAsia="ru-RU"/>
        </w:rPr>
        <w:t>3.</w:t>
      </w:r>
      <w:r w:rsidR="00F607D2">
        <w:rPr>
          <w:b/>
          <w:bCs/>
          <w:color w:val="000000"/>
          <w:sz w:val="28"/>
          <w:szCs w:val="28"/>
          <w:lang w:eastAsia="ru-RU"/>
        </w:rPr>
        <w:t> </w:t>
      </w:r>
      <w:r w:rsidRPr="00CF6163">
        <w:rPr>
          <w:b/>
          <w:bCs/>
          <w:color w:val="000000"/>
          <w:sz w:val="28"/>
          <w:szCs w:val="28"/>
          <w:lang w:eastAsia="ru-RU"/>
        </w:rPr>
        <w:t>Цели и задачи разработки и реализации Инвестиционной программы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Разработка и последующая реализация Инвестиционной программы позволят повысить эффективность и надежность эксплуатации объектов, используемых для утилизации (захоронения) твёрдых бытовых отходов; обеспечить услугами по утилизации (захоронению) твёрдых бытовых отходов новых объектов капитального строительства социального или промышленного назначения; обеспечить экологическую безопасность объектов, используемых для утилизации (захоронения) твердых бытовых отходов, а также безопасность и надежность складирования отходов на полигоне.</w:t>
      </w:r>
    </w:p>
    <w:p w:rsid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В результате реализации Инвестиционной программы должны быть достигнуты следующие основные значения целевых индикаторов работы объектов, используемых для утилизации (захоронения) твердых бытовых отходов на период реализации Инвестиционной программы:</w:t>
      </w:r>
    </w:p>
    <w:p w:rsidR="00277BAC" w:rsidRDefault="00277BAC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00"/>
        <w:gridCol w:w="786"/>
        <w:gridCol w:w="850"/>
        <w:gridCol w:w="867"/>
        <w:gridCol w:w="844"/>
        <w:gridCol w:w="698"/>
        <w:gridCol w:w="857"/>
        <w:gridCol w:w="844"/>
        <w:gridCol w:w="850"/>
      </w:tblGrid>
      <w:tr w:rsidR="00277BAC" w:rsidRPr="00277BAC" w:rsidTr="004443CD">
        <w:trPr>
          <w:trHeight w:val="698"/>
        </w:trPr>
        <w:tc>
          <w:tcPr>
            <w:tcW w:w="3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№</w:t>
            </w: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277BAC">
              <w:rPr>
                <w:sz w:val="23"/>
                <w:szCs w:val="23"/>
                <w:lang w:eastAsia="ru-RU"/>
              </w:rPr>
              <w:t>Ед.</w:t>
            </w: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3"/>
                <w:szCs w:val="23"/>
                <w:lang w:eastAsia="ru-RU"/>
              </w:rPr>
              <w:t>измерения</w:t>
            </w:r>
          </w:p>
        </w:tc>
        <w:tc>
          <w:tcPr>
            <w:tcW w:w="30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Расчетные значения индикаторов, характеризующие состояние систем коммунальной инфраструктуры</w:t>
            </w:r>
          </w:p>
        </w:tc>
      </w:tr>
      <w:tr w:rsidR="00277BAC" w:rsidRPr="00277BAC" w:rsidTr="004443CD">
        <w:trPr>
          <w:trHeight w:val="328"/>
        </w:trPr>
        <w:tc>
          <w:tcPr>
            <w:tcW w:w="3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Продолжительность (бесперебойность) предоставления услуги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час/</w:t>
            </w: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Количество дней в отчетном периоде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 xml:space="preserve">Количество часов предоставления </w:t>
            </w:r>
            <w:r w:rsidRPr="00277BAC">
              <w:rPr>
                <w:sz w:val="24"/>
                <w:szCs w:val="24"/>
                <w:lang w:eastAsia="ru-RU"/>
              </w:rPr>
              <w:lastRenderedPageBreak/>
              <w:t>услуг за отчетный период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4392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4380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4380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4380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4392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4380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4380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Коэффициент защищенности объектов от пожаров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час/</w:t>
            </w: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Суммарная продолжительность пожаров на объектах для утилизации (захоронения)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Количество дней в отчетном периоде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365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Коэффициент использования рабочих карт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Фактическое количество разработанных карт полигона, используемых для утилизации (захоронения)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Плановое количество карт полигона, предусмотренных для утилизации (захоронения)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Коэффициент использования площади полигона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100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Фактическая используемая площадь для утилизации (захоронения)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14000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14000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14000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Площадь объектов для утилизации (захоронения)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14000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14000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14000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D" w:rsidRDefault="004443CD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28000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Коэффициент заполняемости полигона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28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Накопленный объем захороненных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color w:val="000000" w:themeColor="text1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1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6</w:t>
            </w:r>
            <w:r w:rsidRPr="00277BAC">
              <w:rPr>
                <w:sz w:val="18"/>
                <w:szCs w:val="18"/>
                <w:lang w:val="en-US" w:eastAsia="ru-RU"/>
              </w:rPr>
              <w:t>00</w:t>
            </w:r>
            <w:r w:rsidRPr="00277BAC">
              <w:rPr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4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>0 000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3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20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4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0</w:t>
            </w:r>
            <w:r w:rsidRPr="00277BAC">
              <w:rPr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4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 xml:space="preserve">800 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>00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Проектная вместимость объекта для утилизации (захоронения)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20 000 000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20 000 000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20 000 000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20 000 000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20 000 000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20 000 000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20 000 000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Объем утилизированных ТБО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куб. м./год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1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60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2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4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3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2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4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0</w:t>
            </w:r>
            <w:r w:rsidRPr="00277BAC">
              <w:rPr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4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8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7BAC">
              <w:rPr>
                <w:sz w:val="18"/>
                <w:szCs w:val="18"/>
                <w:lang w:eastAsia="ru-RU"/>
              </w:rPr>
              <w:t>5</w:t>
            </w:r>
            <w:r w:rsidRPr="00277BAC">
              <w:rPr>
                <w:sz w:val="18"/>
                <w:szCs w:val="18"/>
                <w:lang w:val="en-US" w:eastAsia="ru-RU"/>
              </w:rPr>
              <w:t xml:space="preserve"> </w:t>
            </w:r>
            <w:r w:rsidRPr="00277BAC">
              <w:rPr>
                <w:sz w:val="18"/>
                <w:szCs w:val="18"/>
                <w:lang w:eastAsia="ru-RU"/>
              </w:rPr>
              <w:t>6</w:t>
            </w:r>
            <w:r w:rsidRPr="00277BAC">
              <w:rPr>
                <w:sz w:val="18"/>
                <w:szCs w:val="18"/>
                <w:lang w:val="en-US" w:eastAsia="ru-RU"/>
              </w:rPr>
              <w:t>0</w:t>
            </w:r>
            <w:r w:rsidRPr="00277BAC">
              <w:rPr>
                <w:sz w:val="18"/>
                <w:szCs w:val="18"/>
                <w:lang w:eastAsia="ru-RU"/>
              </w:rPr>
              <w:t>0 000</w:t>
            </w:r>
          </w:p>
        </w:tc>
      </w:tr>
      <w:tr w:rsidR="00277BAC" w:rsidRPr="00277BAC" w:rsidTr="004443CD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Высота насыпи ТБО на полигоне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77BAC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AC" w:rsidRPr="00277BAC" w:rsidRDefault="00277BAC" w:rsidP="00277BAC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277BAC">
              <w:rPr>
                <w:lang w:eastAsia="ru-RU"/>
              </w:rPr>
              <w:t>8</w:t>
            </w:r>
          </w:p>
        </w:tc>
      </w:tr>
    </w:tbl>
    <w:p w:rsidR="00CF6163" w:rsidRPr="00CF6163" w:rsidRDefault="00CF6163" w:rsidP="00CF6163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6163" w:rsidRPr="00CF6163" w:rsidRDefault="00CF6163" w:rsidP="004219A9">
      <w:pPr>
        <w:keepNext/>
        <w:widowControl/>
        <w:tabs>
          <w:tab w:val="left" w:pos="1185"/>
        </w:tabs>
        <w:suppressAutoHyphens w:val="0"/>
        <w:autoSpaceDE/>
        <w:ind w:firstLine="783"/>
        <w:jc w:val="center"/>
        <w:outlineLvl w:val="0"/>
        <w:rPr>
          <w:b/>
          <w:sz w:val="28"/>
          <w:szCs w:val="28"/>
          <w:lang w:val="x-none" w:eastAsia="x-none"/>
        </w:rPr>
      </w:pPr>
      <w:bookmarkStart w:id="1" w:name="sub_1600"/>
      <w:r w:rsidRPr="00CF6163">
        <w:rPr>
          <w:b/>
          <w:sz w:val="28"/>
          <w:szCs w:val="28"/>
          <w:lang w:eastAsia="x-none"/>
        </w:rPr>
        <w:t>4</w:t>
      </w:r>
      <w:r w:rsidRPr="00CF6163">
        <w:rPr>
          <w:b/>
          <w:sz w:val="28"/>
          <w:szCs w:val="28"/>
          <w:lang w:val="x-none" w:eastAsia="x-none"/>
        </w:rPr>
        <w:t xml:space="preserve">. Требования к содержанию </w:t>
      </w:r>
      <w:r w:rsidRPr="00CF6163">
        <w:rPr>
          <w:b/>
          <w:bCs/>
          <w:color w:val="000000"/>
          <w:sz w:val="28"/>
          <w:szCs w:val="28"/>
          <w:lang w:val="x-none" w:eastAsia="x-none"/>
        </w:rPr>
        <w:t>Инвестиционной</w:t>
      </w:r>
      <w:r w:rsidRPr="00CF6163">
        <w:rPr>
          <w:b/>
          <w:sz w:val="28"/>
          <w:szCs w:val="28"/>
          <w:lang w:val="x-none" w:eastAsia="x-none"/>
        </w:rPr>
        <w:t xml:space="preserve"> программы</w:t>
      </w:r>
    </w:p>
    <w:bookmarkEnd w:id="1"/>
    <w:p w:rsidR="00CF6163" w:rsidRPr="00277BAC" w:rsidRDefault="00CF6163" w:rsidP="007A49B7">
      <w:pPr>
        <w:suppressAutoHyphens w:val="0"/>
        <w:autoSpaceDN w:val="0"/>
        <w:adjustRightInd w:val="0"/>
        <w:rPr>
          <w:sz w:val="16"/>
          <w:szCs w:val="16"/>
          <w:lang w:eastAsia="ru-RU"/>
        </w:rPr>
      </w:pPr>
    </w:p>
    <w:p w:rsidR="00CF6163" w:rsidRPr="00CF6163" w:rsidRDefault="007A49B7" w:rsidP="00CF6163">
      <w:pPr>
        <w:suppressAutoHyphens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607D2">
        <w:rPr>
          <w:sz w:val="28"/>
          <w:szCs w:val="28"/>
          <w:lang w:eastAsia="ru-RU"/>
        </w:rPr>
        <w:t>) </w:t>
      </w:r>
      <w:r w:rsidR="00CF6163" w:rsidRPr="00CF6163">
        <w:rPr>
          <w:sz w:val="28"/>
          <w:szCs w:val="28"/>
          <w:lang w:eastAsia="ru-RU"/>
        </w:rPr>
        <w:t>Проект Инвестиционной программы должен содержать:</w:t>
      </w:r>
    </w:p>
    <w:p w:rsidR="007A49B7" w:rsidRDefault="007A49B7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Pr="00CF6163">
        <w:rPr>
          <w:sz w:val="28"/>
          <w:szCs w:val="28"/>
          <w:lang w:eastAsia="ru-RU"/>
        </w:rPr>
        <w:t>аспорт Инвестиционной программы</w:t>
      </w:r>
      <w:r>
        <w:rPr>
          <w:sz w:val="28"/>
          <w:szCs w:val="28"/>
          <w:lang w:eastAsia="ru-RU"/>
        </w:rPr>
        <w:t>;</w:t>
      </w:r>
    </w:p>
    <w:p w:rsidR="00CF6163" w:rsidRPr="00CF6163" w:rsidRDefault="00CF6163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цели и задачи программы;</w:t>
      </w:r>
    </w:p>
    <w:p w:rsidR="00CF6163" w:rsidRPr="00CF6163" w:rsidRDefault="00CF6163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сроки и этапы реализации программы (на период 2016-2022 гг.);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</w:t>
      </w:r>
      <w:r w:rsidR="00F607D2">
        <w:rPr>
          <w:sz w:val="28"/>
          <w:szCs w:val="28"/>
          <w:lang w:eastAsia="ru-RU"/>
        </w:rPr>
        <w:t> </w:t>
      </w:r>
      <w:r w:rsidRPr="00CF6163">
        <w:rPr>
          <w:sz w:val="28"/>
          <w:szCs w:val="28"/>
          <w:lang w:eastAsia="ru-RU"/>
        </w:rPr>
        <w:t>анализ существующего состояния системы коммунальной инфраструктуры и объектов, используемых для утилизации (захоронения) твердых бытовых отходов (в случае отсутствия программы комплексного развития);</w:t>
      </w:r>
    </w:p>
    <w:p w:rsidR="00CF6163" w:rsidRPr="00CF6163" w:rsidRDefault="00CF6163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целевые индикаторы;</w:t>
      </w:r>
    </w:p>
    <w:p w:rsidR="00CF6163" w:rsidRPr="00CF6163" w:rsidRDefault="007A49B7" w:rsidP="00CF616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F6163" w:rsidRPr="00CF6163">
        <w:rPr>
          <w:sz w:val="28"/>
          <w:szCs w:val="28"/>
          <w:lang w:eastAsia="ru-RU"/>
        </w:rPr>
        <w:t>план технических мероприятий по строительству и (или) модернизации объектов коммунальной инфраструктуры в части утилизации ТБО с разбивкой по годам;</w:t>
      </w:r>
    </w:p>
    <w:p w:rsidR="00CF6163" w:rsidRPr="00CF6163" w:rsidRDefault="00CF6163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организационный план реализации Инвестиционной программы;</w:t>
      </w:r>
    </w:p>
    <w:p w:rsidR="00CF6163" w:rsidRPr="00CF6163" w:rsidRDefault="00CF6163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 xml:space="preserve">- финансовый план реализации </w:t>
      </w:r>
      <w:r w:rsidR="00F607D2">
        <w:rPr>
          <w:sz w:val="28"/>
          <w:szCs w:val="28"/>
          <w:lang w:eastAsia="ru-RU"/>
        </w:rPr>
        <w:t>И</w:t>
      </w:r>
      <w:r w:rsidRPr="00CF6163">
        <w:rPr>
          <w:sz w:val="28"/>
          <w:szCs w:val="28"/>
          <w:lang w:eastAsia="ru-RU"/>
        </w:rPr>
        <w:t>нвестиционной программы;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</w:t>
      </w:r>
      <w:r w:rsidR="00F607D2">
        <w:rPr>
          <w:sz w:val="28"/>
          <w:szCs w:val="28"/>
          <w:lang w:eastAsia="ru-RU"/>
        </w:rPr>
        <w:t> </w:t>
      </w:r>
      <w:r w:rsidRPr="00CF6163">
        <w:rPr>
          <w:sz w:val="28"/>
          <w:szCs w:val="28"/>
          <w:lang w:eastAsia="ru-RU"/>
        </w:rPr>
        <w:t>состав и структуру финансовых источников для реализации Инвестиционной программы;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</w:t>
      </w:r>
      <w:r w:rsidR="00F607D2">
        <w:rPr>
          <w:sz w:val="28"/>
          <w:szCs w:val="28"/>
          <w:lang w:eastAsia="ru-RU"/>
        </w:rPr>
        <w:t> </w:t>
      </w:r>
      <w:r w:rsidRPr="00CF6163">
        <w:rPr>
          <w:sz w:val="28"/>
          <w:szCs w:val="28"/>
          <w:lang w:eastAsia="ru-RU"/>
        </w:rPr>
        <w:t>оценку рисков для развития муниципального образования при возможных срывах в реализации Инвестиционной программы;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предложения о размерах надбавок к тарифам на услуги организаций коммунального комплекса для потребителей;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</w:t>
      </w:r>
      <w:r w:rsidR="00F607D2">
        <w:rPr>
          <w:sz w:val="28"/>
          <w:szCs w:val="28"/>
          <w:lang w:eastAsia="ru-RU"/>
        </w:rPr>
        <w:t> </w:t>
      </w:r>
      <w:r w:rsidRPr="00CF6163">
        <w:rPr>
          <w:sz w:val="28"/>
          <w:szCs w:val="28"/>
          <w:lang w:eastAsia="ru-RU"/>
        </w:rPr>
        <w:t>оценку социально-экономического влияния на стоимость коммунальных услуг с учетом изменения тарифов и надбавок к ним;</w:t>
      </w:r>
    </w:p>
    <w:p w:rsidR="00CF6163" w:rsidRPr="00CF6163" w:rsidRDefault="00CF6163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проект инвестиционного договора.</w:t>
      </w:r>
    </w:p>
    <w:p w:rsidR="00CF6163" w:rsidRPr="00CF6163" w:rsidRDefault="00CF6163" w:rsidP="00CF6163">
      <w:pPr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ab/>
      </w:r>
      <w:r w:rsidR="007A49B7">
        <w:rPr>
          <w:sz w:val="28"/>
          <w:szCs w:val="28"/>
          <w:lang w:eastAsia="ru-RU"/>
        </w:rPr>
        <w:t>2</w:t>
      </w:r>
      <w:r w:rsidR="00F607D2">
        <w:rPr>
          <w:sz w:val="28"/>
          <w:szCs w:val="28"/>
          <w:lang w:eastAsia="ru-RU"/>
        </w:rPr>
        <w:t>) </w:t>
      </w:r>
      <w:r w:rsidRPr="00CF6163">
        <w:rPr>
          <w:sz w:val="28"/>
          <w:szCs w:val="28"/>
          <w:lang w:eastAsia="ru-RU"/>
        </w:rPr>
        <w:t>Пояснительная записка к проекту Инвестиционной программы включает в себя обоснование необходимости принятия программы, правовое обоснование программы, обоснование расчетов стоимости мероприятий программы, предварительный расчет надбавки к тарифу на утилизацию (захоронение) твердых бытовых отходов.</w:t>
      </w:r>
    </w:p>
    <w:p w:rsidR="00CF6163" w:rsidRPr="00CF6163" w:rsidRDefault="00CF6163" w:rsidP="00CF6163">
      <w:pPr>
        <w:suppressAutoHyphens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</w:p>
    <w:p w:rsidR="00CF6163" w:rsidRPr="00CF6163" w:rsidRDefault="00CF6163" w:rsidP="004219A9">
      <w:pPr>
        <w:keepNext/>
        <w:widowControl/>
        <w:tabs>
          <w:tab w:val="left" w:pos="1185"/>
        </w:tabs>
        <w:suppressAutoHyphens w:val="0"/>
        <w:autoSpaceDE/>
        <w:spacing w:line="360" w:lineRule="auto"/>
        <w:ind w:firstLine="783"/>
        <w:jc w:val="center"/>
        <w:outlineLvl w:val="0"/>
        <w:rPr>
          <w:b/>
          <w:sz w:val="28"/>
          <w:szCs w:val="28"/>
          <w:lang w:val="x-none" w:eastAsia="x-none"/>
        </w:rPr>
      </w:pPr>
      <w:bookmarkStart w:id="2" w:name="sub_1700"/>
      <w:r w:rsidRPr="00CF6163">
        <w:rPr>
          <w:b/>
          <w:sz w:val="28"/>
          <w:szCs w:val="28"/>
          <w:lang w:eastAsia="x-none"/>
        </w:rPr>
        <w:t>5</w:t>
      </w:r>
      <w:r w:rsidRPr="00CF6163">
        <w:rPr>
          <w:b/>
          <w:sz w:val="28"/>
          <w:szCs w:val="28"/>
          <w:lang w:val="x-none" w:eastAsia="x-none"/>
        </w:rPr>
        <w:t xml:space="preserve">. Основные требования к </w:t>
      </w:r>
      <w:r w:rsidRPr="00CF6163">
        <w:rPr>
          <w:b/>
          <w:sz w:val="28"/>
          <w:szCs w:val="28"/>
          <w:lang w:eastAsia="x-none"/>
        </w:rPr>
        <w:t>И</w:t>
      </w:r>
      <w:proofErr w:type="spellStart"/>
      <w:r w:rsidRPr="00CF6163">
        <w:rPr>
          <w:b/>
          <w:sz w:val="28"/>
          <w:szCs w:val="28"/>
          <w:lang w:val="x-none" w:eastAsia="x-none"/>
        </w:rPr>
        <w:t>нвестиционной</w:t>
      </w:r>
      <w:proofErr w:type="spellEnd"/>
      <w:r w:rsidRPr="00CF6163">
        <w:rPr>
          <w:b/>
          <w:sz w:val="28"/>
          <w:szCs w:val="28"/>
          <w:lang w:val="x-none" w:eastAsia="x-none"/>
        </w:rPr>
        <w:t xml:space="preserve"> программе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CF6163" w:rsidRPr="00CF6163" w:rsidTr="00655B6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Основные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Содержание</w:t>
            </w:r>
          </w:p>
        </w:tc>
      </w:tr>
      <w:tr w:rsidR="00CF6163" w:rsidRPr="00CF6163" w:rsidTr="00655B6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Временные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F607D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Мероприятия, указанные в </w:t>
            </w:r>
            <w:r w:rsidR="00F607D2">
              <w:rPr>
                <w:sz w:val="24"/>
                <w:szCs w:val="24"/>
                <w:lang w:eastAsia="ru-RU"/>
              </w:rPr>
              <w:t>И</w:t>
            </w:r>
            <w:r w:rsidRPr="00CF6163">
              <w:rPr>
                <w:sz w:val="24"/>
                <w:szCs w:val="24"/>
                <w:lang w:eastAsia="ru-RU"/>
              </w:rPr>
              <w:t xml:space="preserve">нвестиционной программе, должны быть осуществлены в течение 2016 – 2022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г.г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CF6163" w:rsidRPr="00CF6163" w:rsidTr="00655B6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качеству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Мероприятия </w:t>
            </w:r>
            <w:r w:rsidR="00F607D2">
              <w:rPr>
                <w:sz w:val="24"/>
                <w:szCs w:val="24"/>
                <w:lang w:eastAsia="ru-RU"/>
              </w:rPr>
              <w:t>И</w:t>
            </w:r>
            <w:r w:rsidRPr="00CF6163">
              <w:rPr>
                <w:sz w:val="24"/>
                <w:szCs w:val="24"/>
                <w:lang w:eastAsia="ru-RU"/>
              </w:rPr>
              <w:t xml:space="preserve">нвестиционной программы должны обеспечивать надежность и качество работы объектов утилизации (захоронения) твердых бытовых отходов в соответствии с санитарными правилами и нормами, экологическими требованиями, регулирующими их </w:t>
            </w:r>
            <w:r w:rsidRPr="00CF6163">
              <w:rPr>
                <w:sz w:val="24"/>
                <w:szCs w:val="24"/>
                <w:lang w:eastAsia="ru-RU"/>
              </w:rPr>
              <w:lastRenderedPageBreak/>
              <w:t>функционирование, нормативными правовыми документами:</w:t>
            </w:r>
          </w:p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CF6163">
                <w:rPr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CF6163">
              <w:rPr>
                <w:sz w:val="24"/>
                <w:szCs w:val="24"/>
                <w:lang w:eastAsia="ru-RU"/>
              </w:rPr>
              <w:t xml:space="preserve"> от 10.01.2002 №7-ФЗ «Об охране окружающей среды»;</w:t>
            </w:r>
          </w:p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</w:t>
            </w:r>
            <w:r w:rsidR="00F607D2">
              <w:rPr>
                <w:sz w:val="24"/>
                <w:szCs w:val="24"/>
                <w:lang w:eastAsia="ru-RU"/>
              </w:rPr>
              <w:t> </w:t>
            </w:r>
            <w:r w:rsidRPr="00CF6163">
              <w:rPr>
                <w:sz w:val="24"/>
                <w:szCs w:val="24"/>
                <w:lang w:eastAsia="ru-RU"/>
              </w:rPr>
              <w:t>Федеральным законом от 24.06.1998 №89-ФЗ «Об отходах производства и потребления»;</w:t>
            </w:r>
          </w:p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</w:t>
            </w:r>
            <w:r w:rsidR="00F607D2">
              <w:rPr>
                <w:sz w:val="24"/>
                <w:szCs w:val="24"/>
                <w:lang w:eastAsia="ru-RU"/>
              </w:rPr>
              <w:t> </w:t>
            </w:r>
            <w:r w:rsidRPr="00CF6163">
              <w:rPr>
                <w:sz w:val="24"/>
                <w:szCs w:val="24"/>
                <w:lang w:eastAsia="ru-RU"/>
              </w:rPr>
              <w:t>Санитарно-эпидемиологическими правилами и нормативами СанПиН 2.1.7.1322-03 «Гигиенические требования к размещению и обезвреживанию отходов производства и потребления»;</w:t>
            </w:r>
          </w:p>
          <w:p w:rsidR="00CF6163" w:rsidRPr="00CF6163" w:rsidRDefault="00CF6163" w:rsidP="00F607D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</w:t>
            </w:r>
            <w:r w:rsidR="00F607D2">
              <w:rPr>
                <w:sz w:val="24"/>
                <w:szCs w:val="24"/>
                <w:lang w:eastAsia="ru-RU"/>
              </w:rPr>
              <w:t> </w:t>
            </w:r>
            <w:r w:rsidRPr="00CF6163">
              <w:rPr>
                <w:sz w:val="24"/>
                <w:szCs w:val="24"/>
                <w:lang w:eastAsia="ru-RU"/>
              </w:rPr>
              <w:t>Санитарными правилами СП</w:t>
            </w:r>
            <w:r w:rsidR="00F607D2">
              <w:rPr>
                <w:sz w:val="24"/>
                <w:szCs w:val="24"/>
                <w:lang w:eastAsia="ru-RU"/>
              </w:rPr>
              <w:t> </w:t>
            </w:r>
            <w:r w:rsidRPr="00CF6163">
              <w:rPr>
                <w:sz w:val="24"/>
                <w:szCs w:val="24"/>
                <w:lang w:eastAsia="ru-RU"/>
              </w:rPr>
              <w:t>2.1.7.1038-01 «Гигиенические требования к устройству и содержанию полигонов для тве</w:t>
            </w:r>
            <w:r w:rsidR="00F607D2">
              <w:rPr>
                <w:sz w:val="24"/>
                <w:szCs w:val="24"/>
                <w:lang w:eastAsia="ru-RU"/>
              </w:rPr>
              <w:t>рдых бытовых отходов»</w:t>
            </w:r>
          </w:p>
        </w:tc>
      </w:tr>
      <w:tr w:rsidR="00CF6163" w:rsidRPr="00CF6163" w:rsidTr="00655B6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lastRenderedPageBreak/>
              <w:t>Финансовые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F607D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Общая стоимость мероприятия, финансируемого за счет надбавки к тарифу на услугу утилизации (захоронения) твердых бытовых отходов для потребителей, бюджетных и внебюджетных источников, не должна превышать 2</w:t>
            </w:r>
            <w:r w:rsidR="00F607D2">
              <w:rPr>
                <w:sz w:val="24"/>
                <w:szCs w:val="24"/>
                <w:lang w:eastAsia="ru-RU"/>
              </w:rPr>
              <w:t> </w:t>
            </w:r>
            <w:r w:rsidRPr="00CF6163">
              <w:rPr>
                <w:sz w:val="24"/>
                <w:szCs w:val="24"/>
                <w:lang w:eastAsia="ru-RU"/>
              </w:rPr>
              <w:t>474</w:t>
            </w:r>
            <w:r w:rsidR="00F607D2">
              <w:rPr>
                <w:sz w:val="24"/>
                <w:szCs w:val="24"/>
                <w:lang w:eastAsia="ru-RU"/>
              </w:rPr>
              <w:t> </w:t>
            </w:r>
            <w:r w:rsidRPr="00CF6163">
              <w:rPr>
                <w:sz w:val="24"/>
                <w:szCs w:val="24"/>
                <w:lang w:eastAsia="ru-RU"/>
              </w:rPr>
              <w:t>000 тыс. руб. (с НДС).</w:t>
            </w:r>
          </w:p>
        </w:tc>
      </w:tr>
    </w:tbl>
    <w:p w:rsidR="00F607D2" w:rsidRDefault="00F607D2" w:rsidP="00F607D2">
      <w:pPr>
        <w:suppressAutoHyphens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3" w:name="sub_1006"/>
    </w:p>
    <w:p w:rsidR="00CF6163" w:rsidRPr="00CF6163" w:rsidRDefault="00CF6163" w:rsidP="00F607D2">
      <w:pPr>
        <w:suppressAutoHyphens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CF6163">
        <w:rPr>
          <w:b/>
          <w:bCs/>
          <w:color w:val="26282F"/>
          <w:sz w:val="28"/>
          <w:szCs w:val="28"/>
          <w:lang w:eastAsia="ru-RU"/>
        </w:rPr>
        <w:t>6. Технические требования к мероприятиям</w:t>
      </w:r>
    </w:p>
    <w:p w:rsidR="00CF6163" w:rsidRPr="00CF6163" w:rsidRDefault="00CF6163" w:rsidP="004219A9">
      <w:pPr>
        <w:suppressAutoHyphens w:val="0"/>
        <w:autoSpaceDN w:val="0"/>
        <w:adjustRightInd w:val="0"/>
        <w:ind w:firstLine="709"/>
        <w:jc w:val="both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4" w:name="sub_61"/>
      <w:bookmarkEnd w:id="3"/>
      <w:r w:rsidRPr="00CF6163">
        <w:rPr>
          <w:b/>
          <w:bCs/>
          <w:color w:val="26282F"/>
          <w:sz w:val="28"/>
          <w:szCs w:val="28"/>
          <w:lang w:eastAsia="ru-RU"/>
        </w:rPr>
        <w:t>6.1. 2-я карта складирования полигона захоронения ТБО</w:t>
      </w:r>
    </w:p>
    <w:bookmarkEnd w:id="4"/>
    <w:p w:rsidR="00CF6163" w:rsidRPr="00277BAC" w:rsidRDefault="00CF6163" w:rsidP="00F607D2">
      <w:pPr>
        <w:suppressAutoHyphens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698"/>
      </w:tblGrid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Мощность объекта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Не менее 100 000 (сто тысяч) тонн в год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365 (триста шестьдесят пять) дней в году. График работы эксплуатационного персонала - посменный.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технологии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Определяются Инвестором.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действующим СНиП.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Выделение очередей и пусковых комплексов. Требования по перспективному расширению предприятия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Определяются Инвестором.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энерго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>-, тепло-, водоснабжения, канализации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техническим условиям.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и условия к разработке природоохранных мер и мероприятий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Количество вредных выбросов в воздухе рабочей зоны в пределах ПДК. Поступающие ТБО подвергаются контролю на содержание взрывчатых и радиоактивных веществ, металлической ртути.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режиму безопасности и гигиене труда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 соответствии с действующими законодательством Российской Федерации и нормативными правовыми актами.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Состав, содержание и оформление проектной и рабочей документации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 соответствии с действующими законодательством Российской Федерации и нормативными правовыми актами.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lastRenderedPageBreak/>
              <w:t>Требования к пожарной охране и технике безопасности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действующим нормам и правилам. Категория помещения станции по пожарной опасности "В".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Основное технологическое оборудование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F616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Определяется Инвестором, при этом обязательно наличие автоматизированной системы управления, позволяющая учитывать и контролировать въезд/выезд автотранспорта, передвижение ТМЦ, взвешивание ТБО и ВМР.</w:t>
            </w:r>
          </w:p>
        </w:tc>
      </w:tr>
    </w:tbl>
    <w:p w:rsidR="00CF6163" w:rsidRPr="00CF6163" w:rsidRDefault="00CF6163" w:rsidP="000C087D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F6163" w:rsidRPr="00CF6163" w:rsidRDefault="00CF6163" w:rsidP="004219A9">
      <w:pPr>
        <w:suppressAutoHyphens w:val="0"/>
        <w:autoSpaceDN w:val="0"/>
        <w:adjustRightInd w:val="0"/>
        <w:spacing w:before="108" w:after="108"/>
        <w:ind w:firstLine="709"/>
        <w:jc w:val="both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5" w:name="sub_62"/>
      <w:r w:rsidRPr="00CF6163">
        <w:rPr>
          <w:b/>
          <w:bCs/>
          <w:color w:val="26282F"/>
          <w:sz w:val="28"/>
          <w:szCs w:val="28"/>
          <w:lang w:eastAsia="ru-RU"/>
        </w:rPr>
        <w:t>6.2. Мусоросортировочный комплекс мощностью не менее 150 000 (сто пятьдесят тысяч) тонн в год</w:t>
      </w:r>
    </w:p>
    <w:bookmarkEnd w:id="5"/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Мусоросортировочный комплекс должен отвечать действующим экологическим и санитарным требованиям и соответствовать следующим технико-экономическим показателям: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объект недвижимого имущества;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режим работы - ежедневный;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график работы эксплуатационного персонала - посменный;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суммарный объем переработки и сортировки ТБО - не менее 150 000 (с</w:t>
      </w:r>
      <w:r w:rsidR="00F607D2">
        <w:rPr>
          <w:sz w:val="28"/>
          <w:szCs w:val="28"/>
          <w:lang w:eastAsia="ru-RU"/>
        </w:rPr>
        <w:t>та пятидесяти тысяч) тонн в год.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698"/>
      </w:tblGrid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одно- или двухуровневый цех сортировки ТБО, состоит из трех зон: участок приемки ТБО - закрытая стеновыми или иными панелями с трех сторон площадка для предотвращения разноса ветром ТБО, участок основной сортировки и прессования вторсырья, участок отгрузки ТБО;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пункт КПП;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весовая, электронные автомобильные весы грузоподъемностью не менее 60 тонн и длиной 18-20 метров;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площадка складирования КГМ с ограждением, исключающим разнос ветром ТБО;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административно-бытовые и технические помещения согласно действующим нормам;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конструкция и техническое исполнение основного технологического оборудования комплекса сортировки должны исключать внешнее пылеобразование, просыпание отходов и разнесение их ветром, попадание на землю фильтрата после уплотнения "хвостов" ТБО;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покрытие площадок должно иметь уклоны, обеспечивающие направленный сбор стоков и осадков. Покрытие приемной площадки должно быть из высокопрочного износостойкого бетона. Пропускная способность дренажных каналов должна обеспечивать ежесменную (особенно в летнее и теплое время) уборку и помывку оборудования;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приточно-вытяжная вентиляция с нормативным трехкратным воздухообменом для замкнутых помещений;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пожаротушения и система пожарной сигнализации;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связь (телефонная, громкая);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контроля на наличие радиоактивных веществ и металлической ртути;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ограждения территории станции от проникновения посторонних лиц;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видеонаблюдения;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lastRenderedPageBreak/>
              <w:t>- система автоматизированного управления линией сортировки;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резервуар для сбора фильтрата.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lastRenderedPageBreak/>
              <w:t>Требования к технологии производства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ТБО доставляются на предприятие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мусоровозным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и самосвальным автотранспортом. Производится взвешивание ТБО и дозиметрический контроль. Фронтальный погрузчик загружает отходы на заглубленную часть приемных конвейеров для последующей подачи на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вибростолы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или аналог, которые отсеивают мелкую фракцию. Отсев от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вибростола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(или аналога) попадает на конвейер ленточный отводящий для мелкой фракции, который загружает контейнер для дальнейшего вывоза отсева на полигон захоронения. Отходы с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гранулометрией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выше 90 мм попадают от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вибростола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(или аналога) на конвейер сортировки, проходящий через климатическую кабину, где работают сортировщики. Отобранное вторсырье сбрасывается в лотки каждой секции сортировки. Вторсырье из секций эстакады погрузчиком с лопатным отвалом подается на пластинчатый конвейер вторсырья. По конвейеру вторсырье подается в пресс для брикетирования. ТБО после отбора вторичного сырья конвейером подается в зону работы магнитного сепаратора для извлечения металлических (магнитных отходов). Под конвейером сортировки проходит конвейер для "хвостов", с помощью которого отходы подаются в пресс-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компактор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для прессования "хвостов" ТБО в пресс-контейнеры.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действующим СНиП для зданий многоцелевого назначения модульного типа. Возможно строительство зданий из легких конструкций.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365 (триста шестьдесят пять) дней в году. График работы эксплуатационного персонала - посменный.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Выделение очередей и пусковых комплексов. Требования по перспективному расширению предприятия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Определяются Инвестором.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энерго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>-, тепло-, водоснабжения, канализации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техническим условиям. Возможно иное, предусмотренное проектом.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и условия к разработке природоохранных мер и мероприятий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Количество вредных выбросов в воздухе рабочей зоны в пределах ПДК. Поступающие на станцию отходы подвергаются контролю на содержание радиоактивных веществ, металлической ртути.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режиму безопасности и гигиене труда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 соответствии с действующими законодательством Российской Федерации и нормативными правовыми актами.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Состав, содержание и оформление проектной и рабочей документации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 соответствии с действующими законодательством Российской Федерации и нормативными правовыми актами.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Требования к пожарной охране и технике </w:t>
            </w:r>
            <w:r w:rsidRPr="00CF6163">
              <w:rPr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lastRenderedPageBreak/>
              <w:t>Согласно действующим нормам и правилам. Категория помещения станции по пожарной опасности "В".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lastRenderedPageBreak/>
              <w:t>Основное технологическое оборудование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Предусмотреть: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конвейеры приемные пластинчатые, конвейер пластинчатый для вторсырья, конвейеры ленточные, кабины оператора и климатическая, эстакада сортировочная, пресс для вторсырья, пресс-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компакторы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мультилифты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и контейнеры к ним шредер для КГМ и шредер для строительных отходов. Либо аналогичные технические решения в соответствии с проектом. Основные виды технологического оборудования уточняются по мере согласования задания на проектирование.</w:t>
            </w:r>
          </w:p>
        </w:tc>
      </w:tr>
    </w:tbl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F6163" w:rsidRPr="00CF6163" w:rsidRDefault="00CF6163" w:rsidP="004219A9">
      <w:pPr>
        <w:suppressAutoHyphens w:val="0"/>
        <w:autoSpaceDN w:val="0"/>
        <w:adjustRightInd w:val="0"/>
        <w:spacing w:before="108" w:after="108"/>
        <w:ind w:firstLine="709"/>
        <w:jc w:val="both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6" w:name="sub_63"/>
      <w:r w:rsidRPr="00CF6163">
        <w:rPr>
          <w:b/>
          <w:bCs/>
          <w:color w:val="26282F"/>
          <w:sz w:val="28"/>
          <w:szCs w:val="28"/>
          <w:lang w:eastAsia="ru-RU"/>
        </w:rPr>
        <w:t xml:space="preserve">6.3. </w:t>
      </w:r>
      <w:r w:rsidRPr="004219A9">
        <w:rPr>
          <w:b/>
          <w:bCs/>
          <w:color w:val="26282F"/>
          <w:spacing w:val="-4"/>
          <w:sz w:val="28"/>
          <w:szCs w:val="28"/>
          <w:lang w:eastAsia="ru-RU"/>
        </w:rPr>
        <w:t>Мусороперегрузочная станция с элементами сортировки в городе Чебоксары мощностью не менее 150 000 (сто пятьдесят тысяч) тонн в год</w:t>
      </w:r>
    </w:p>
    <w:bookmarkEnd w:id="6"/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Мусоросортировочная станция должна отвечать действующим экологическим и санитарным требованиям и соответствовать следующим технико-экономическим показателям: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объект недвижимого имущества;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суммарный объем переработки и сортировки ТБО - не менее 150 000 (ст</w:t>
      </w:r>
      <w:r w:rsidR="004219A9">
        <w:rPr>
          <w:sz w:val="28"/>
          <w:szCs w:val="28"/>
          <w:lang w:eastAsia="ru-RU"/>
        </w:rPr>
        <w:t>о</w:t>
      </w:r>
      <w:r w:rsidRPr="00CF6163">
        <w:rPr>
          <w:sz w:val="28"/>
          <w:szCs w:val="28"/>
          <w:lang w:eastAsia="ru-RU"/>
        </w:rPr>
        <w:t xml:space="preserve"> пят</w:t>
      </w:r>
      <w:r w:rsidR="004219A9">
        <w:rPr>
          <w:sz w:val="28"/>
          <w:szCs w:val="28"/>
          <w:lang w:eastAsia="ru-RU"/>
        </w:rPr>
        <w:t>ь</w:t>
      </w:r>
      <w:r w:rsidRPr="00CF6163">
        <w:rPr>
          <w:sz w:val="28"/>
          <w:szCs w:val="28"/>
          <w:lang w:eastAsia="ru-RU"/>
        </w:rPr>
        <w:t>десят тысяч) тонн в год;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- дальность расположения мусороперегрузочной станции о</w:t>
      </w:r>
      <w:r w:rsidR="004219A9">
        <w:rPr>
          <w:sz w:val="28"/>
          <w:szCs w:val="28"/>
          <w:lang w:eastAsia="ru-RU"/>
        </w:rPr>
        <w:t>т полигона ТБО - не более 30 км.</w:t>
      </w:r>
    </w:p>
    <w:p w:rsidR="00CF6163" w:rsidRPr="00277BAC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698"/>
      </w:tblGrid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одно- или двухуровневый участок приемки, перегрузки и прессования ТБО, исключающий попадание атмосферных осадков, с ограждением, исключающим разнос ветром составляющих ТБО;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пункт КПП;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административно-бытовые и технические помещения согласно действующим нормам;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конструкция и техническое исполнение приемных бункеров должны исключать внешнее пылеобразование, просыпание отходов и разнесение их ветром, выделение в атмосферный воздух загрязняющих веществ и газов;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покрытие площадок и пандуса должно иметь уклоны, обеспечивающие направленный сбор стоков и осадков. Покрытие приемной площадки и разгрузочного пандуса должно быть из высокопрочного износостойкого бетона. Пропускная способность дренажных каналов должна обеспечить ежесменную (особенно в летнее и теплое время) уборку и помывку оборудования, транспортных систем;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приточно-вытяжная вентиляция с нормативным воздухообменом для замкнутых помещений;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пожаротушения и система пожарной сигнализации;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электронные автомобильные весы грузоподъемностью не менее 60 тонн и длиной 18-20 метров;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очистка сточных вод от мытья оборудования и отжима ТБО;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связь (телефонная, громкая);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контроля на наличие в ТБО радиоактивных веществ и металлической ртути;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ограждения территории станции от проникновения посторонних лиц;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система видеонаблюдения.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lastRenderedPageBreak/>
              <w:t>Требования к технологии производства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ТБО доставляются на предприятие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мусоровозным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и самосвальным автотранспортом. Производится взвешивание ТБО и дозиметрический контроль. Фронтальный погрузчик загружает отходы на заглубленную часть приемных конвейеров для последующей подачи на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вибростолы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или аналог, которые отсеивают мелкую фракцию. Отсев от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вибростола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(или аналога) попадает на конвейер ленточный отводящий для мелкой фракции, который загружает контейнер для дальнейшего вывоза отсева на полигон захоронения. Отходы с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гранулометрией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выше 90 мм попадают от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вибростола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(или аналога) на конвейер сортировки, проходящий через климатическую кабину, где работают сортировщики. Отобранное вторсырье сбрасывается в лотки каждой секции сортировки. Вторсырье из секций эстакады погрузчиком с лопатным отвалом подается на пластинчатый конвейер вторсырья. По конвейеру вторсырье подается в пресс для брикетирования. ТБО после отбора вторичного сырья конвейером подается в зону работы магнитного сепаратора для извлечения металлических (магнитных отходов). Под конвейером сортировки проходит конвейер для "хвостов", с помощью которого отходы подаются в пресс-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компактор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для прессования "хвостов" ТБО в пресс-контейнеры.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действующим СНиП для зданий многоцелевого назначения модульного типа.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Выделение очередей и пусковых комплексов. Требования по перспективному расширению предприятия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Определяются Инвестором.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энерго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>-, тепло-, водоснабжения, канализации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техническим условиям.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и условия к разработке природоохранных мер и мероприятий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Количество вредных выбросов в воздухе рабочей зоны в пределах ПДК. Поступающие на станцию ТБО подвергаются контролю на содержание взрывчатых и радиоактивных веществ, металлической ртути.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режиму безопасности и гигиене труда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 соответствии с действующими законодательством Российской Федерации и нормативными правовыми актами.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Состав, содержание и оформление проектной и рабочей документации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В соответствии с действующими законодательством Российской Федерации и нормативными правовыми актами.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Требования к пожарной охране и технике безопасности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Согласно действующим нормам и правилам. Категория помещения станции по пожарной опасности "В".</w:t>
            </w:r>
          </w:p>
        </w:tc>
      </w:tr>
      <w:tr w:rsidR="00CF6163" w:rsidRPr="00CF6163" w:rsidTr="00655B6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Основное технологическое оборудование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Предусмотреть: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бункер-накопитель, пресс-контейнер, закрытый контейнер, открытый контейнер, шредер, фронтальный погрузчик, экскаватор, пресс-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компакторы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163">
              <w:rPr>
                <w:sz w:val="24"/>
                <w:szCs w:val="24"/>
                <w:lang w:eastAsia="ru-RU"/>
              </w:rPr>
              <w:t>мультилифты</w:t>
            </w:r>
            <w:proofErr w:type="spellEnd"/>
            <w:r w:rsidRPr="00CF6163">
              <w:rPr>
                <w:sz w:val="24"/>
                <w:szCs w:val="24"/>
                <w:lang w:eastAsia="ru-RU"/>
              </w:rPr>
              <w:t xml:space="preserve"> и контейнеры к </w:t>
            </w:r>
            <w:r w:rsidRPr="00CF6163">
              <w:rPr>
                <w:sz w:val="24"/>
                <w:szCs w:val="24"/>
                <w:lang w:eastAsia="ru-RU"/>
              </w:rPr>
              <w:lastRenderedPageBreak/>
              <w:t>ним, шредер для КГМ и шредер для строительных отходов. Либо аналогичные технические решения в соответствии с проектом;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- автоматизированная система управления, позволяющая учитывать и контролировать въезд/выезд автотранспорта, передвижение ТМЦ, взвешивание ТБО и ВМР.</w:t>
            </w:r>
          </w:p>
          <w:p w:rsidR="00CF6163" w:rsidRPr="00CF6163" w:rsidRDefault="00CF6163" w:rsidP="00CC1A53">
            <w:pPr>
              <w:suppressAutoHyphens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CF6163">
              <w:rPr>
                <w:sz w:val="24"/>
                <w:szCs w:val="24"/>
                <w:lang w:eastAsia="ru-RU"/>
              </w:rPr>
              <w:t>Основные виды технологического оборудования уточняются по мере согласования задания на проектирование.</w:t>
            </w:r>
          </w:p>
        </w:tc>
      </w:tr>
    </w:tbl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F6163" w:rsidRPr="00CF6163" w:rsidRDefault="007A49B7" w:rsidP="00CF6163">
      <w:pPr>
        <w:suppressAutoHyphens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7" w:name="sub_1007"/>
      <w:r>
        <w:rPr>
          <w:b/>
          <w:bCs/>
          <w:color w:val="26282F"/>
          <w:sz w:val="28"/>
          <w:szCs w:val="28"/>
          <w:lang w:eastAsia="ru-RU"/>
        </w:rPr>
        <w:t>7. Сроки разработки</w:t>
      </w:r>
      <w:r w:rsidR="00CF6163" w:rsidRPr="00CF6163">
        <w:rPr>
          <w:b/>
          <w:bCs/>
          <w:color w:val="26282F"/>
          <w:sz w:val="28"/>
          <w:szCs w:val="28"/>
          <w:lang w:eastAsia="ru-RU"/>
        </w:rPr>
        <w:t xml:space="preserve"> </w:t>
      </w:r>
      <w:r w:rsidR="004219A9">
        <w:rPr>
          <w:b/>
          <w:bCs/>
          <w:color w:val="26282F"/>
          <w:sz w:val="28"/>
          <w:szCs w:val="28"/>
          <w:lang w:eastAsia="ru-RU"/>
        </w:rPr>
        <w:t>И</w:t>
      </w:r>
      <w:r w:rsidR="00CF6163" w:rsidRPr="00CF6163">
        <w:rPr>
          <w:b/>
          <w:bCs/>
          <w:color w:val="26282F"/>
          <w:sz w:val="28"/>
          <w:szCs w:val="28"/>
          <w:lang w:eastAsia="ru-RU"/>
        </w:rPr>
        <w:t>нвестиционной программы</w:t>
      </w:r>
    </w:p>
    <w:bookmarkEnd w:id="7"/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Разработка проекта Инвестиционной программы - не более двух месяцев после утверждения технического задания на ее разработку.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Мероприятия Инвестиционной программы должны быть осуществлены в течение срока ее реализации.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F6163" w:rsidRPr="00CF6163" w:rsidRDefault="00CF6163" w:rsidP="00CF6163">
      <w:pPr>
        <w:suppressAutoHyphens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8" w:name="sub_1008"/>
      <w:r w:rsidRPr="00CF6163">
        <w:rPr>
          <w:b/>
          <w:bCs/>
          <w:color w:val="26282F"/>
          <w:sz w:val="28"/>
          <w:szCs w:val="28"/>
          <w:lang w:eastAsia="ru-RU"/>
        </w:rPr>
        <w:t>8. Требования к достижению согласованности производственной и Инвестиционной программ</w:t>
      </w:r>
    </w:p>
    <w:bookmarkEnd w:id="8"/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 xml:space="preserve">В целях исключения возможного двойного учета реализуемых мероприятий </w:t>
      </w:r>
      <w:proofErr w:type="spellStart"/>
      <w:r w:rsidR="004219A9">
        <w:rPr>
          <w:sz w:val="28"/>
          <w:szCs w:val="28"/>
          <w:lang w:eastAsia="ru-RU"/>
        </w:rPr>
        <w:t>И</w:t>
      </w:r>
      <w:r w:rsidRPr="00CF6163">
        <w:rPr>
          <w:sz w:val="28"/>
          <w:szCs w:val="28"/>
          <w:lang w:eastAsia="ru-RU"/>
        </w:rPr>
        <w:t>инвестиционная</w:t>
      </w:r>
      <w:proofErr w:type="spellEnd"/>
      <w:r w:rsidRPr="00CF6163">
        <w:rPr>
          <w:sz w:val="28"/>
          <w:szCs w:val="28"/>
          <w:lang w:eastAsia="ru-RU"/>
        </w:rPr>
        <w:t xml:space="preserve"> программа должна согласовываться с действующей производственной программой общества, предусмотренной </w:t>
      </w:r>
      <w:hyperlink r:id="rId13" w:history="1">
        <w:r w:rsidRPr="00CF6163">
          <w:rPr>
            <w:sz w:val="28"/>
            <w:szCs w:val="28"/>
            <w:lang w:eastAsia="ru-RU"/>
          </w:rPr>
          <w:t>Федеральным законом</w:t>
        </w:r>
      </w:hyperlink>
      <w:r w:rsidRPr="00CF6163">
        <w:rPr>
          <w:sz w:val="28"/>
          <w:szCs w:val="28"/>
          <w:lang w:eastAsia="ru-RU"/>
        </w:rPr>
        <w:t xml:space="preserve"> от 30.12.2004 </w:t>
      </w:r>
      <w:r w:rsidR="004219A9">
        <w:rPr>
          <w:sz w:val="28"/>
          <w:szCs w:val="28"/>
          <w:lang w:eastAsia="ru-RU"/>
        </w:rPr>
        <w:t>№</w:t>
      </w:r>
      <w:r w:rsidRPr="00CF6163">
        <w:rPr>
          <w:sz w:val="28"/>
          <w:szCs w:val="28"/>
          <w:lang w:eastAsia="ru-RU"/>
        </w:rPr>
        <w:t> 210-ФЗ "Об основах регулирования тарифов организаций коммунального комплекса".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F6163" w:rsidRPr="00CF6163" w:rsidRDefault="00CF6163" w:rsidP="004219A9">
      <w:pPr>
        <w:suppressAutoHyphens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9" w:name="sub_1009"/>
      <w:r w:rsidRPr="00CF6163">
        <w:rPr>
          <w:b/>
          <w:bCs/>
          <w:sz w:val="28"/>
          <w:szCs w:val="28"/>
          <w:lang w:eastAsia="ru-RU"/>
        </w:rPr>
        <w:t>9. Требования к предоставлению проекта</w:t>
      </w:r>
    </w:p>
    <w:bookmarkEnd w:id="9"/>
    <w:p w:rsidR="00433FCE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 xml:space="preserve">Проект Инвестиционной программы представляется на бумажном и электронном носителях в </w:t>
      </w:r>
      <w:r w:rsidR="00433FCE" w:rsidRPr="00CF6163">
        <w:rPr>
          <w:sz w:val="28"/>
          <w:szCs w:val="28"/>
          <w:lang w:eastAsia="ru-RU"/>
        </w:rPr>
        <w:t>управление по регулированию тарифов, экономики предприятий и инвестиций администрации города Чебоксары</w:t>
      </w:r>
      <w:r w:rsidR="00433FCE">
        <w:rPr>
          <w:sz w:val="28"/>
          <w:szCs w:val="28"/>
          <w:lang w:eastAsia="ru-RU"/>
        </w:rPr>
        <w:t>.</w:t>
      </w:r>
    </w:p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Pr="00CF6163">
          <w:rPr>
            <w:sz w:val="28"/>
            <w:szCs w:val="28"/>
            <w:lang w:eastAsia="ru-RU"/>
          </w:rPr>
          <w:t>Федеральным законом</w:t>
        </w:r>
      </w:hyperlink>
      <w:r w:rsidRPr="00CF6163">
        <w:rPr>
          <w:sz w:val="28"/>
          <w:szCs w:val="28"/>
          <w:lang w:eastAsia="ru-RU"/>
        </w:rPr>
        <w:t xml:space="preserve"> от 30.12.2004 N 210-ФЗ "Об основах регулирования тарифов организаций коммунального комплекса" в составе пакета документов представляется проект договора между администрацией города Чебоксары и филиалом ЗАО "Управление отходами" в г. Новочебоксарск, определяющий условия реализации Инвестиционной программы.</w:t>
      </w:r>
    </w:p>
    <w:p w:rsidR="00CF6163" w:rsidRPr="00CC1A5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p w:rsidR="00CF6163" w:rsidRPr="00CF6163" w:rsidRDefault="00CF6163" w:rsidP="004219A9">
      <w:pPr>
        <w:suppressAutoHyphens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10" w:name="sub_1010"/>
      <w:r w:rsidRPr="00CF6163">
        <w:rPr>
          <w:b/>
          <w:bCs/>
          <w:color w:val="26282F"/>
          <w:sz w:val="28"/>
          <w:szCs w:val="28"/>
          <w:lang w:eastAsia="ru-RU"/>
        </w:rPr>
        <w:t>10.</w:t>
      </w:r>
      <w:r w:rsidR="004219A9">
        <w:rPr>
          <w:b/>
          <w:bCs/>
          <w:color w:val="26282F"/>
          <w:sz w:val="28"/>
          <w:szCs w:val="28"/>
          <w:lang w:eastAsia="ru-RU"/>
        </w:rPr>
        <w:t> </w:t>
      </w:r>
      <w:r w:rsidRPr="00CF6163">
        <w:rPr>
          <w:b/>
          <w:bCs/>
          <w:color w:val="26282F"/>
          <w:sz w:val="28"/>
          <w:szCs w:val="28"/>
          <w:lang w:eastAsia="ru-RU"/>
        </w:rPr>
        <w:t>Организация мониторинга и контроля Инвестиционной программы</w:t>
      </w:r>
    </w:p>
    <w:bookmarkEnd w:id="10"/>
    <w:p w:rsidR="00CF6163" w:rsidRPr="00CF6163" w:rsidRDefault="00CF6163" w:rsidP="00CF6163">
      <w:pPr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6163">
        <w:rPr>
          <w:sz w:val="28"/>
          <w:szCs w:val="28"/>
          <w:lang w:eastAsia="ru-RU"/>
        </w:rPr>
        <w:t>Контроль за реализацией Инвестиционной программы и мониторинг осуществляет управление по регулированию тарифов, экономики предприятий и инвестиций администрации города Чебоксары в порядке, предусмотренн</w:t>
      </w:r>
      <w:r w:rsidR="004219A9">
        <w:rPr>
          <w:sz w:val="28"/>
          <w:szCs w:val="28"/>
          <w:lang w:eastAsia="ru-RU"/>
        </w:rPr>
        <w:t>о</w:t>
      </w:r>
      <w:r w:rsidRPr="00CF6163">
        <w:rPr>
          <w:sz w:val="28"/>
          <w:szCs w:val="28"/>
          <w:lang w:eastAsia="ru-RU"/>
        </w:rPr>
        <w:t xml:space="preserve">м </w:t>
      </w:r>
      <w:hyperlink r:id="rId15" w:history="1">
        <w:r w:rsidRPr="00CF6163">
          <w:rPr>
            <w:sz w:val="28"/>
            <w:szCs w:val="28"/>
            <w:lang w:eastAsia="ru-RU"/>
          </w:rPr>
          <w:t>приказом</w:t>
        </w:r>
      </w:hyperlink>
      <w:r w:rsidRPr="00CF6163">
        <w:rPr>
          <w:sz w:val="28"/>
          <w:szCs w:val="28"/>
          <w:lang w:eastAsia="ru-RU"/>
        </w:rPr>
        <w:t xml:space="preserve"> Министерства регионального развития Российской Федерации от 14.04.2008 N 48 "Об утверждении Методики проведения мониторинга выполнения производственных и инвестиционных программ организаций коммунального комплекса".</w:t>
      </w:r>
    </w:p>
    <w:p w:rsidR="00CF6163" w:rsidRPr="00CF6163" w:rsidRDefault="004219A9" w:rsidP="00CC1A53">
      <w:pPr>
        <w:suppressAutoHyphens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</w:t>
      </w:r>
    </w:p>
    <w:sectPr w:rsidR="00CF6163" w:rsidRPr="00CF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8E" w:rsidRDefault="0080328E" w:rsidP="009822C3">
      <w:r>
        <w:separator/>
      </w:r>
    </w:p>
  </w:endnote>
  <w:endnote w:type="continuationSeparator" w:id="0">
    <w:p w:rsidR="0080328E" w:rsidRDefault="0080328E" w:rsidP="0098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4D" w:rsidRPr="00E51136" w:rsidRDefault="00643C0A" w:rsidP="0093104D">
    <w:pPr>
      <w:pStyle w:val="ac"/>
      <w:jc w:val="right"/>
      <w:rPr>
        <w:sz w:val="16"/>
        <w:szCs w:val="16"/>
      </w:rPr>
    </w:pPr>
    <w:r>
      <w:rPr>
        <w:sz w:val="16"/>
        <w:szCs w:val="16"/>
      </w:rPr>
      <w:t>009</w:t>
    </w:r>
    <w:r w:rsidR="007B2F97">
      <w:rPr>
        <w:sz w:val="16"/>
        <w:szCs w:val="16"/>
      </w:rPr>
      <w:t>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8E" w:rsidRDefault="0080328E" w:rsidP="009822C3">
      <w:r>
        <w:separator/>
      </w:r>
    </w:p>
  </w:footnote>
  <w:footnote w:type="continuationSeparator" w:id="0">
    <w:p w:rsidR="0080328E" w:rsidRDefault="0080328E" w:rsidP="0098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0C3D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7B"/>
    <w:rsid w:val="00000B26"/>
    <w:rsid w:val="0000171B"/>
    <w:rsid w:val="000075E5"/>
    <w:rsid w:val="000100D6"/>
    <w:rsid w:val="00010E6B"/>
    <w:rsid w:val="00012D8A"/>
    <w:rsid w:val="00017211"/>
    <w:rsid w:val="000241CF"/>
    <w:rsid w:val="000265E9"/>
    <w:rsid w:val="00030489"/>
    <w:rsid w:val="00030BFA"/>
    <w:rsid w:val="00031226"/>
    <w:rsid w:val="00031D37"/>
    <w:rsid w:val="00032373"/>
    <w:rsid w:val="000353B6"/>
    <w:rsid w:val="00037F78"/>
    <w:rsid w:val="0004177D"/>
    <w:rsid w:val="00043FC9"/>
    <w:rsid w:val="000455A5"/>
    <w:rsid w:val="00054C8D"/>
    <w:rsid w:val="00055FB2"/>
    <w:rsid w:val="000611F6"/>
    <w:rsid w:val="00066220"/>
    <w:rsid w:val="0007032B"/>
    <w:rsid w:val="000723B1"/>
    <w:rsid w:val="00072FBB"/>
    <w:rsid w:val="0007407B"/>
    <w:rsid w:val="0008269F"/>
    <w:rsid w:val="00083E33"/>
    <w:rsid w:val="00086039"/>
    <w:rsid w:val="00087BD0"/>
    <w:rsid w:val="00097054"/>
    <w:rsid w:val="00097C1B"/>
    <w:rsid w:val="000A02ED"/>
    <w:rsid w:val="000A0696"/>
    <w:rsid w:val="000A15F4"/>
    <w:rsid w:val="000A3F61"/>
    <w:rsid w:val="000A5D1A"/>
    <w:rsid w:val="000A7B16"/>
    <w:rsid w:val="000B08C5"/>
    <w:rsid w:val="000B2B47"/>
    <w:rsid w:val="000B4CA8"/>
    <w:rsid w:val="000B66F9"/>
    <w:rsid w:val="000B790C"/>
    <w:rsid w:val="000B7E98"/>
    <w:rsid w:val="000C087D"/>
    <w:rsid w:val="000C0C70"/>
    <w:rsid w:val="000C3CCE"/>
    <w:rsid w:val="000C48B9"/>
    <w:rsid w:val="000C5701"/>
    <w:rsid w:val="000C6167"/>
    <w:rsid w:val="000D1626"/>
    <w:rsid w:val="000D2C07"/>
    <w:rsid w:val="000D3672"/>
    <w:rsid w:val="000D514C"/>
    <w:rsid w:val="000E3856"/>
    <w:rsid w:val="000E4A27"/>
    <w:rsid w:val="000E5CB6"/>
    <w:rsid w:val="000F1E12"/>
    <w:rsid w:val="000F21B6"/>
    <w:rsid w:val="000F4D96"/>
    <w:rsid w:val="000F5C85"/>
    <w:rsid w:val="00101627"/>
    <w:rsid w:val="00103E9D"/>
    <w:rsid w:val="00106225"/>
    <w:rsid w:val="0011113A"/>
    <w:rsid w:val="001139C3"/>
    <w:rsid w:val="00113E65"/>
    <w:rsid w:val="001177ED"/>
    <w:rsid w:val="00122D09"/>
    <w:rsid w:val="00123C54"/>
    <w:rsid w:val="001248F6"/>
    <w:rsid w:val="001249C8"/>
    <w:rsid w:val="001266B1"/>
    <w:rsid w:val="00127833"/>
    <w:rsid w:val="001336A4"/>
    <w:rsid w:val="00135065"/>
    <w:rsid w:val="0013508A"/>
    <w:rsid w:val="00136C13"/>
    <w:rsid w:val="00137295"/>
    <w:rsid w:val="001378CF"/>
    <w:rsid w:val="0014176A"/>
    <w:rsid w:val="00141845"/>
    <w:rsid w:val="0014205C"/>
    <w:rsid w:val="0014250E"/>
    <w:rsid w:val="00145C5F"/>
    <w:rsid w:val="00145FEF"/>
    <w:rsid w:val="001479FA"/>
    <w:rsid w:val="00156970"/>
    <w:rsid w:val="00160707"/>
    <w:rsid w:val="00161022"/>
    <w:rsid w:val="00165B14"/>
    <w:rsid w:val="00166A18"/>
    <w:rsid w:val="00166C52"/>
    <w:rsid w:val="001704E8"/>
    <w:rsid w:val="00171F6E"/>
    <w:rsid w:val="0017591D"/>
    <w:rsid w:val="00175EEE"/>
    <w:rsid w:val="0019719D"/>
    <w:rsid w:val="001A39DB"/>
    <w:rsid w:val="001A4503"/>
    <w:rsid w:val="001A4DCC"/>
    <w:rsid w:val="001B0249"/>
    <w:rsid w:val="001B187B"/>
    <w:rsid w:val="001B3AEF"/>
    <w:rsid w:val="001B3EFF"/>
    <w:rsid w:val="001C0ABA"/>
    <w:rsid w:val="001C40BD"/>
    <w:rsid w:val="001D0F19"/>
    <w:rsid w:val="001D2237"/>
    <w:rsid w:val="001D344C"/>
    <w:rsid w:val="001D3ADB"/>
    <w:rsid w:val="001D5B58"/>
    <w:rsid w:val="001D68DF"/>
    <w:rsid w:val="001E1BAA"/>
    <w:rsid w:val="001E5E80"/>
    <w:rsid w:val="001E64CB"/>
    <w:rsid w:val="001F29DC"/>
    <w:rsid w:val="001F377A"/>
    <w:rsid w:val="001F4B78"/>
    <w:rsid w:val="001F7521"/>
    <w:rsid w:val="0020305D"/>
    <w:rsid w:val="0020424C"/>
    <w:rsid w:val="00204E84"/>
    <w:rsid w:val="0021150A"/>
    <w:rsid w:val="00214360"/>
    <w:rsid w:val="00222236"/>
    <w:rsid w:val="00222C85"/>
    <w:rsid w:val="00240263"/>
    <w:rsid w:val="002414A7"/>
    <w:rsid w:val="00242AD9"/>
    <w:rsid w:val="002468F0"/>
    <w:rsid w:val="00251298"/>
    <w:rsid w:val="0025250D"/>
    <w:rsid w:val="002626BE"/>
    <w:rsid w:val="00266745"/>
    <w:rsid w:val="00267F7B"/>
    <w:rsid w:val="00272673"/>
    <w:rsid w:val="002771D4"/>
    <w:rsid w:val="00277733"/>
    <w:rsid w:val="00277BAC"/>
    <w:rsid w:val="00277F74"/>
    <w:rsid w:val="00281033"/>
    <w:rsid w:val="00282156"/>
    <w:rsid w:val="00283EB7"/>
    <w:rsid w:val="002851D7"/>
    <w:rsid w:val="002960E0"/>
    <w:rsid w:val="00296739"/>
    <w:rsid w:val="002A15ED"/>
    <w:rsid w:val="002A25A9"/>
    <w:rsid w:val="002A2F5E"/>
    <w:rsid w:val="002A423A"/>
    <w:rsid w:val="002A76FC"/>
    <w:rsid w:val="002B583C"/>
    <w:rsid w:val="002C0218"/>
    <w:rsid w:val="002C2A98"/>
    <w:rsid w:val="002C5C82"/>
    <w:rsid w:val="002C765F"/>
    <w:rsid w:val="002D3DD7"/>
    <w:rsid w:val="002D71E7"/>
    <w:rsid w:val="002D72D5"/>
    <w:rsid w:val="002E0D6F"/>
    <w:rsid w:val="002E14C5"/>
    <w:rsid w:val="002E2EAD"/>
    <w:rsid w:val="002E6435"/>
    <w:rsid w:val="002E7F35"/>
    <w:rsid w:val="002F005A"/>
    <w:rsid w:val="002F0262"/>
    <w:rsid w:val="002F4C04"/>
    <w:rsid w:val="002F5624"/>
    <w:rsid w:val="002F5933"/>
    <w:rsid w:val="002F7866"/>
    <w:rsid w:val="002F7DE3"/>
    <w:rsid w:val="003048BE"/>
    <w:rsid w:val="00304B48"/>
    <w:rsid w:val="003070F5"/>
    <w:rsid w:val="00310D00"/>
    <w:rsid w:val="00313FBC"/>
    <w:rsid w:val="0031544B"/>
    <w:rsid w:val="00315777"/>
    <w:rsid w:val="00316D9D"/>
    <w:rsid w:val="003224A1"/>
    <w:rsid w:val="0032266E"/>
    <w:rsid w:val="003239D7"/>
    <w:rsid w:val="003241F9"/>
    <w:rsid w:val="0032507B"/>
    <w:rsid w:val="00325DC0"/>
    <w:rsid w:val="0032735E"/>
    <w:rsid w:val="003304BD"/>
    <w:rsid w:val="003323FD"/>
    <w:rsid w:val="003332FE"/>
    <w:rsid w:val="00337495"/>
    <w:rsid w:val="00337F87"/>
    <w:rsid w:val="00342D38"/>
    <w:rsid w:val="00344304"/>
    <w:rsid w:val="00350E4D"/>
    <w:rsid w:val="00351EC2"/>
    <w:rsid w:val="003521A3"/>
    <w:rsid w:val="003613D4"/>
    <w:rsid w:val="00361F19"/>
    <w:rsid w:val="003648E1"/>
    <w:rsid w:val="003748C6"/>
    <w:rsid w:val="003762E6"/>
    <w:rsid w:val="00380ED3"/>
    <w:rsid w:val="0038130E"/>
    <w:rsid w:val="00381554"/>
    <w:rsid w:val="0038378C"/>
    <w:rsid w:val="00393115"/>
    <w:rsid w:val="00395625"/>
    <w:rsid w:val="003960F4"/>
    <w:rsid w:val="0039659F"/>
    <w:rsid w:val="00397D00"/>
    <w:rsid w:val="003A568D"/>
    <w:rsid w:val="003A5FE6"/>
    <w:rsid w:val="003A6028"/>
    <w:rsid w:val="003A78DB"/>
    <w:rsid w:val="003A7E8F"/>
    <w:rsid w:val="003B1D15"/>
    <w:rsid w:val="003C0090"/>
    <w:rsid w:val="003C0198"/>
    <w:rsid w:val="003C1B59"/>
    <w:rsid w:val="003C248D"/>
    <w:rsid w:val="003C5560"/>
    <w:rsid w:val="003D0939"/>
    <w:rsid w:val="003D10E6"/>
    <w:rsid w:val="003D189A"/>
    <w:rsid w:val="003E1DD0"/>
    <w:rsid w:val="003E390F"/>
    <w:rsid w:val="003F01A5"/>
    <w:rsid w:val="003F0FD8"/>
    <w:rsid w:val="003F2741"/>
    <w:rsid w:val="003F35EB"/>
    <w:rsid w:val="003F7638"/>
    <w:rsid w:val="00401363"/>
    <w:rsid w:val="004030A6"/>
    <w:rsid w:val="00404F88"/>
    <w:rsid w:val="00407B73"/>
    <w:rsid w:val="004104FA"/>
    <w:rsid w:val="004106EF"/>
    <w:rsid w:val="004132C0"/>
    <w:rsid w:val="00416C0F"/>
    <w:rsid w:val="004179FB"/>
    <w:rsid w:val="00420C4B"/>
    <w:rsid w:val="004219A9"/>
    <w:rsid w:val="00421CA7"/>
    <w:rsid w:val="00423B2D"/>
    <w:rsid w:val="004250F9"/>
    <w:rsid w:val="00426471"/>
    <w:rsid w:val="00426B4E"/>
    <w:rsid w:val="004274A0"/>
    <w:rsid w:val="00433FCE"/>
    <w:rsid w:val="00434C56"/>
    <w:rsid w:val="00436264"/>
    <w:rsid w:val="004377F8"/>
    <w:rsid w:val="00440014"/>
    <w:rsid w:val="0044096B"/>
    <w:rsid w:val="00440A44"/>
    <w:rsid w:val="004443CD"/>
    <w:rsid w:val="0044573E"/>
    <w:rsid w:val="00447260"/>
    <w:rsid w:val="004473C5"/>
    <w:rsid w:val="00451421"/>
    <w:rsid w:val="00451FFE"/>
    <w:rsid w:val="0045503B"/>
    <w:rsid w:val="00455FB0"/>
    <w:rsid w:val="00456592"/>
    <w:rsid w:val="0045691B"/>
    <w:rsid w:val="00457469"/>
    <w:rsid w:val="0046035B"/>
    <w:rsid w:val="00460B67"/>
    <w:rsid w:val="00464A0D"/>
    <w:rsid w:val="00467085"/>
    <w:rsid w:val="00472645"/>
    <w:rsid w:val="00476B95"/>
    <w:rsid w:val="00476C51"/>
    <w:rsid w:val="00476D9C"/>
    <w:rsid w:val="00477D30"/>
    <w:rsid w:val="00480824"/>
    <w:rsid w:val="00481F5D"/>
    <w:rsid w:val="00484310"/>
    <w:rsid w:val="00485505"/>
    <w:rsid w:val="00487530"/>
    <w:rsid w:val="00490676"/>
    <w:rsid w:val="0049087F"/>
    <w:rsid w:val="004908CF"/>
    <w:rsid w:val="00491A00"/>
    <w:rsid w:val="00491F23"/>
    <w:rsid w:val="00496407"/>
    <w:rsid w:val="004A0A0E"/>
    <w:rsid w:val="004A0DF5"/>
    <w:rsid w:val="004A5CB1"/>
    <w:rsid w:val="004A639F"/>
    <w:rsid w:val="004B1AD3"/>
    <w:rsid w:val="004B5789"/>
    <w:rsid w:val="004B7282"/>
    <w:rsid w:val="004B7BEB"/>
    <w:rsid w:val="004C0F6B"/>
    <w:rsid w:val="004C54F0"/>
    <w:rsid w:val="004C55FE"/>
    <w:rsid w:val="004D28C5"/>
    <w:rsid w:val="004D2CC1"/>
    <w:rsid w:val="004D43D4"/>
    <w:rsid w:val="004D7193"/>
    <w:rsid w:val="004E10D1"/>
    <w:rsid w:val="004E1DA1"/>
    <w:rsid w:val="004E2A71"/>
    <w:rsid w:val="004E3464"/>
    <w:rsid w:val="004E5744"/>
    <w:rsid w:val="004F0C68"/>
    <w:rsid w:val="004F123C"/>
    <w:rsid w:val="004F2C67"/>
    <w:rsid w:val="004F45FD"/>
    <w:rsid w:val="004F6866"/>
    <w:rsid w:val="004F71B7"/>
    <w:rsid w:val="00500605"/>
    <w:rsid w:val="00501BF0"/>
    <w:rsid w:val="00502262"/>
    <w:rsid w:val="00502AD9"/>
    <w:rsid w:val="00505325"/>
    <w:rsid w:val="00507D49"/>
    <w:rsid w:val="00510FD0"/>
    <w:rsid w:val="005111D5"/>
    <w:rsid w:val="00516A0D"/>
    <w:rsid w:val="00517BC0"/>
    <w:rsid w:val="00517E31"/>
    <w:rsid w:val="00520054"/>
    <w:rsid w:val="0052271D"/>
    <w:rsid w:val="005235AA"/>
    <w:rsid w:val="005253FE"/>
    <w:rsid w:val="00526B55"/>
    <w:rsid w:val="00527BEB"/>
    <w:rsid w:val="00532621"/>
    <w:rsid w:val="00535653"/>
    <w:rsid w:val="005357A8"/>
    <w:rsid w:val="005400BD"/>
    <w:rsid w:val="00543339"/>
    <w:rsid w:val="00543AEA"/>
    <w:rsid w:val="00544364"/>
    <w:rsid w:val="005453EE"/>
    <w:rsid w:val="0054572D"/>
    <w:rsid w:val="00546EDF"/>
    <w:rsid w:val="00563AE7"/>
    <w:rsid w:val="00564B2E"/>
    <w:rsid w:val="00564C86"/>
    <w:rsid w:val="00565835"/>
    <w:rsid w:val="00566497"/>
    <w:rsid w:val="00566F18"/>
    <w:rsid w:val="00572514"/>
    <w:rsid w:val="00573FB7"/>
    <w:rsid w:val="00576338"/>
    <w:rsid w:val="00576398"/>
    <w:rsid w:val="00580B02"/>
    <w:rsid w:val="00584931"/>
    <w:rsid w:val="0058566F"/>
    <w:rsid w:val="005859DA"/>
    <w:rsid w:val="005900E7"/>
    <w:rsid w:val="00596771"/>
    <w:rsid w:val="005A2121"/>
    <w:rsid w:val="005A2172"/>
    <w:rsid w:val="005A58F6"/>
    <w:rsid w:val="005B1CB5"/>
    <w:rsid w:val="005B5217"/>
    <w:rsid w:val="005B5F58"/>
    <w:rsid w:val="005B70DA"/>
    <w:rsid w:val="005C20DA"/>
    <w:rsid w:val="005C6DF9"/>
    <w:rsid w:val="005D2249"/>
    <w:rsid w:val="005E01FD"/>
    <w:rsid w:val="005E1AB0"/>
    <w:rsid w:val="005E27E6"/>
    <w:rsid w:val="005E6854"/>
    <w:rsid w:val="005E68E1"/>
    <w:rsid w:val="005F05D5"/>
    <w:rsid w:val="005F1280"/>
    <w:rsid w:val="005F1CA1"/>
    <w:rsid w:val="005F3369"/>
    <w:rsid w:val="005F433C"/>
    <w:rsid w:val="005F52EF"/>
    <w:rsid w:val="005F6437"/>
    <w:rsid w:val="005F73B0"/>
    <w:rsid w:val="005F7C37"/>
    <w:rsid w:val="00600691"/>
    <w:rsid w:val="00601A01"/>
    <w:rsid w:val="006047E0"/>
    <w:rsid w:val="00606A51"/>
    <w:rsid w:val="00607724"/>
    <w:rsid w:val="00610083"/>
    <w:rsid w:val="00612CE3"/>
    <w:rsid w:val="00616098"/>
    <w:rsid w:val="00620AFD"/>
    <w:rsid w:val="006221AB"/>
    <w:rsid w:val="00622BEF"/>
    <w:rsid w:val="006265E1"/>
    <w:rsid w:val="00627B1B"/>
    <w:rsid w:val="00630057"/>
    <w:rsid w:val="00634BDB"/>
    <w:rsid w:val="00636F56"/>
    <w:rsid w:val="00637ED9"/>
    <w:rsid w:val="006400B3"/>
    <w:rsid w:val="00642087"/>
    <w:rsid w:val="006436E2"/>
    <w:rsid w:val="00643C0A"/>
    <w:rsid w:val="00645FCB"/>
    <w:rsid w:val="00647145"/>
    <w:rsid w:val="00652CE7"/>
    <w:rsid w:val="00662A6B"/>
    <w:rsid w:val="0066440A"/>
    <w:rsid w:val="006674FB"/>
    <w:rsid w:val="0067180D"/>
    <w:rsid w:val="00673785"/>
    <w:rsid w:val="00674F6A"/>
    <w:rsid w:val="00682B75"/>
    <w:rsid w:val="0068406D"/>
    <w:rsid w:val="0069091E"/>
    <w:rsid w:val="00691B1B"/>
    <w:rsid w:val="00691D99"/>
    <w:rsid w:val="006928A6"/>
    <w:rsid w:val="00692CC6"/>
    <w:rsid w:val="00692D40"/>
    <w:rsid w:val="006A1CE8"/>
    <w:rsid w:val="006A561D"/>
    <w:rsid w:val="006A7E9B"/>
    <w:rsid w:val="006B4DA1"/>
    <w:rsid w:val="006B5011"/>
    <w:rsid w:val="006B7D8D"/>
    <w:rsid w:val="006C19BC"/>
    <w:rsid w:val="006C60D2"/>
    <w:rsid w:val="006D15DD"/>
    <w:rsid w:val="006D2685"/>
    <w:rsid w:val="006D322B"/>
    <w:rsid w:val="006D3683"/>
    <w:rsid w:val="006E2377"/>
    <w:rsid w:val="006F135A"/>
    <w:rsid w:val="006F5118"/>
    <w:rsid w:val="006F651B"/>
    <w:rsid w:val="0071054D"/>
    <w:rsid w:val="00711C3A"/>
    <w:rsid w:val="00714C07"/>
    <w:rsid w:val="00715280"/>
    <w:rsid w:val="0072116A"/>
    <w:rsid w:val="00721296"/>
    <w:rsid w:val="007273F1"/>
    <w:rsid w:val="0073266C"/>
    <w:rsid w:val="007352E6"/>
    <w:rsid w:val="007363E6"/>
    <w:rsid w:val="00737AC2"/>
    <w:rsid w:val="00742AF6"/>
    <w:rsid w:val="007431F2"/>
    <w:rsid w:val="00743704"/>
    <w:rsid w:val="00743B48"/>
    <w:rsid w:val="007475EF"/>
    <w:rsid w:val="00751028"/>
    <w:rsid w:val="00753601"/>
    <w:rsid w:val="007642F9"/>
    <w:rsid w:val="007670FA"/>
    <w:rsid w:val="0076777F"/>
    <w:rsid w:val="007705D5"/>
    <w:rsid w:val="007716D4"/>
    <w:rsid w:val="007776E6"/>
    <w:rsid w:val="00780008"/>
    <w:rsid w:val="00781944"/>
    <w:rsid w:val="00782A4A"/>
    <w:rsid w:val="00782C99"/>
    <w:rsid w:val="0078528F"/>
    <w:rsid w:val="007876B8"/>
    <w:rsid w:val="00787FA4"/>
    <w:rsid w:val="0079272B"/>
    <w:rsid w:val="00792985"/>
    <w:rsid w:val="007939D2"/>
    <w:rsid w:val="00796ABC"/>
    <w:rsid w:val="007A08E2"/>
    <w:rsid w:val="007A49B7"/>
    <w:rsid w:val="007A56B9"/>
    <w:rsid w:val="007B1856"/>
    <w:rsid w:val="007B2F97"/>
    <w:rsid w:val="007B408F"/>
    <w:rsid w:val="007C0061"/>
    <w:rsid w:val="007C3160"/>
    <w:rsid w:val="007C3C37"/>
    <w:rsid w:val="007C3CAA"/>
    <w:rsid w:val="007C4688"/>
    <w:rsid w:val="007C5D9B"/>
    <w:rsid w:val="007C647A"/>
    <w:rsid w:val="007C6B0E"/>
    <w:rsid w:val="007C7D8F"/>
    <w:rsid w:val="007D2ED4"/>
    <w:rsid w:val="007D3808"/>
    <w:rsid w:val="007D3EA0"/>
    <w:rsid w:val="007E4C94"/>
    <w:rsid w:val="007F2093"/>
    <w:rsid w:val="007F5699"/>
    <w:rsid w:val="007F5D2E"/>
    <w:rsid w:val="007F6C1E"/>
    <w:rsid w:val="008005E1"/>
    <w:rsid w:val="00802AEC"/>
    <w:rsid w:val="00802D99"/>
    <w:rsid w:val="0080328E"/>
    <w:rsid w:val="0081202D"/>
    <w:rsid w:val="00812785"/>
    <w:rsid w:val="0081411B"/>
    <w:rsid w:val="00814454"/>
    <w:rsid w:val="00814ECA"/>
    <w:rsid w:val="00815233"/>
    <w:rsid w:val="00824133"/>
    <w:rsid w:val="00830668"/>
    <w:rsid w:val="00833AB0"/>
    <w:rsid w:val="0083594E"/>
    <w:rsid w:val="00836AD8"/>
    <w:rsid w:val="00842BF4"/>
    <w:rsid w:val="00842F70"/>
    <w:rsid w:val="0084506F"/>
    <w:rsid w:val="00847AB7"/>
    <w:rsid w:val="00850356"/>
    <w:rsid w:val="00851689"/>
    <w:rsid w:val="00863C8F"/>
    <w:rsid w:val="00863DDB"/>
    <w:rsid w:val="00870DCA"/>
    <w:rsid w:val="008719F0"/>
    <w:rsid w:val="00872668"/>
    <w:rsid w:val="008732D1"/>
    <w:rsid w:val="008761F5"/>
    <w:rsid w:val="008809E6"/>
    <w:rsid w:val="008864A0"/>
    <w:rsid w:val="00886884"/>
    <w:rsid w:val="0089526A"/>
    <w:rsid w:val="00895771"/>
    <w:rsid w:val="008A2DEC"/>
    <w:rsid w:val="008A5EC9"/>
    <w:rsid w:val="008A6916"/>
    <w:rsid w:val="008B0FDF"/>
    <w:rsid w:val="008B1B96"/>
    <w:rsid w:val="008B412F"/>
    <w:rsid w:val="008B4816"/>
    <w:rsid w:val="008B5F98"/>
    <w:rsid w:val="008B6E1B"/>
    <w:rsid w:val="008C19E5"/>
    <w:rsid w:val="008C415A"/>
    <w:rsid w:val="008C6077"/>
    <w:rsid w:val="008C63F1"/>
    <w:rsid w:val="008C658B"/>
    <w:rsid w:val="008C7E69"/>
    <w:rsid w:val="008D043C"/>
    <w:rsid w:val="008D48A3"/>
    <w:rsid w:val="008D688F"/>
    <w:rsid w:val="008D6E7E"/>
    <w:rsid w:val="008E14FF"/>
    <w:rsid w:val="008E2797"/>
    <w:rsid w:val="008E3A16"/>
    <w:rsid w:val="008E7760"/>
    <w:rsid w:val="008F58ED"/>
    <w:rsid w:val="008F64C2"/>
    <w:rsid w:val="008F70B3"/>
    <w:rsid w:val="00902E44"/>
    <w:rsid w:val="00904A9F"/>
    <w:rsid w:val="009050BC"/>
    <w:rsid w:val="00910EEB"/>
    <w:rsid w:val="00913362"/>
    <w:rsid w:val="00917308"/>
    <w:rsid w:val="0092233C"/>
    <w:rsid w:val="009229D0"/>
    <w:rsid w:val="00922B9F"/>
    <w:rsid w:val="00922DDA"/>
    <w:rsid w:val="00922F5F"/>
    <w:rsid w:val="00925568"/>
    <w:rsid w:val="009277F4"/>
    <w:rsid w:val="00936285"/>
    <w:rsid w:val="009371F6"/>
    <w:rsid w:val="00943502"/>
    <w:rsid w:val="00943D2B"/>
    <w:rsid w:val="0094627E"/>
    <w:rsid w:val="00947B00"/>
    <w:rsid w:val="009513EB"/>
    <w:rsid w:val="00952C4F"/>
    <w:rsid w:val="00955726"/>
    <w:rsid w:val="00956D10"/>
    <w:rsid w:val="009579FB"/>
    <w:rsid w:val="00957B7F"/>
    <w:rsid w:val="00961813"/>
    <w:rsid w:val="00961936"/>
    <w:rsid w:val="00961CD9"/>
    <w:rsid w:val="0096375B"/>
    <w:rsid w:val="00964C95"/>
    <w:rsid w:val="009704D2"/>
    <w:rsid w:val="00975021"/>
    <w:rsid w:val="00975DDB"/>
    <w:rsid w:val="00976B31"/>
    <w:rsid w:val="00977813"/>
    <w:rsid w:val="00981803"/>
    <w:rsid w:val="00981AF7"/>
    <w:rsid w:val="009822C3"/>
    <w:rsid w:val="009846D1"/>
    <w:rsid w:val="0099129A"/>
    <w:rsid w:val="0099296F"/>
    <w:rsid w:val="0099578D"/>
    <w:rsid w:val="00996F6B"/>
    <w:rsid w:val="009A51D9"/>
    <w:rsid w:val="009B404A"/>
    <w:rsid w:val="009B65B2"/>
    <w:rsid w:val="009B67E6"/>
    <w:rsid w:val="009B692E"/>
    <w:rsid w:val="009B75C8"/>
    <w:rsid w:val="009C059D"/>
    <w:rsid w:val="009C33A4"/>
    <w:rsid w:val="009C3890"/>
    <w:rsid w:val="009C38AC"/>
    <w:rsid w:val="009C5A9B"/>
    <w:rsid w:val="009D0F43"/>
    <w:rsid w:val="009D1EAA"/>
    <w:rsid w:val="009D71D4"/>
    <w:rsid w:val="009E25AB"/>
    <w:rsid w:val="009E4BB5"/>
    <w:rsid w:val="009E5736"/>
    <w:rsid w:val="009E69A4"/>
    <w:rsid w:val="009F151B"/>
    <w:rsid w:val="00A07F8F"/>
    <w:rsid w:val="00A12848"/>
    <w:rsid w:val="00A146E9"/>
    <w:rsid w:val="00A1745B"/>
    <w:rsid w:val="00A246D5"/>
    <w:rsid w:val="00A26262"/>
    <w:rsid w:val="00A2788A"/>
    <w:rsid w:val="00A307BD"/>
    <w:rsid w:val="00A30E24"/>
    <w:rsid w:val="00A32DE7"/>
    <w:rsid w:val="00A33BFD"/>
    <w:rsid w:val="00A3552E"/>
    <w:rsid w:val="00A40155"/>
    <w:rsid w:val="00A42519"/>
    <w:rsid w:val="00A44738"/>
    <w:rsid w:val="00A472BC"/>
    <w:rsid w:val="00A51680"/>
    <w:rsid w:val="00A532FF"/>
    <w:rsid w:val="00A537D0"/>
    <w:rsid w:val="00A57DE2"/>
    <w:rsid w:val="00A60C57"/>
    <w:rsid w:val="00A61D84"/>
    <w:rsid w:val="00A64C79"/>
    <w:rsid w:val="00A653CA"/>
    <w:rsid w:val="00A66F5C"/>
    <w:rsid w:val="00A66FB2"/>
    <w:rsid w:val="00A70CF4"/>
    <w:rsid w:val="00A721F4"/>
    <w:rsid w:val="00A7246A"/>
    <w:rsid w:val="00A72B39"/>
    <w:rsid w:val="00A74A39"/>
    <w:rsid w:val="00A754CF"/>
    <w:rsid w:val="00A76AE4"/>
    <w:rsid w:val="00A8195D"/>
    <w:rsid w:val="00A85108"/>
    <w:rsid w:val="00A87B3D"/>
    <w:rsid w:val="00A90D71"/>
    <w:rsid w:val="00A90EE0"/>
    <w:rsid w:val="00A912BD"/>
    <w:rsid w:val="00A955E2"/>
    <w:rsid w:val="00A97505"/>
    <w:rsid w:val="00AA0675"/>
    <w:rsid w:val="00AA124E"/>
    <w:rsid w:val="00AA32F5"/>
    <w:rsid w:val="00AA40CF"/>
    <w:rsid w:val="00AA5DFB"/>
    <w:rsid w:val="00AA60AD"/>
    <w:rsid w:val="00AA63D5"/>
    <w:rsid w:val="00AB12D7"/>
    <w:rsid w:val="00AB149C"/>
    <w:rsid w:val="00AB438B"/>
    <w:rsid w:val="00AB4CE1"/>
    <w:rsid w:val="00AB5B24"/>
    <w:rsid w:val="00AB731D"/>
    <w:rsid w:val="00AC0F43"/>
    <w:rsid w:val="00AC1F06"/>
    <w:rsid w:val="00AC297B"/>
    <w:rsid w:val="00AC3E71"/>
    <w:rsid w:val="00AC59F4"/>
    <w:rsid w:val="00AC6FDE"/>
    <w:rsid w:val="00AD1053"/>
    <w:rsid w:val="00AD464F"/>
    <w:rsid w:val="00AE0A0F"/>
    <w:rsid w:val="00AE0FB7"/>
    <w:rsid w:val="00AE120D"/>
    <w:rsid w:val="00AE27F0"/>
    <w:rsid w:val="00AE7388"/>
    <w:rsid w:val="00AF0B8D"/>
    <w:rsid w:val="00AF3DD8"/>
    <w:rsid w:val="00AF3FE3"/>
    <w:rsid w:val="00B006C5"/>
    <w:rsid w:val="00B035B1"/>
    <w:rsid w:val="00B0636E"/>
    <w:rsid w:val="00B063C7"/>
    <w:rsid w:val="00B139B3"/>
    <w:rsid w:val="00B14ECC"/>
    <w:rsid w:val="00B1793A"/>
    <w:rsid w:val="00B23051"/>
    <w:rsid w:val="00B2616F"/>
    <w:rsid w:val="00B2711F"/>
    <w:rsid w:val="00B40F53"/>
    <w:rsid w:val="00B42408"/>
    <w:rsid w:val="00B425D7"/>
    <w:rsid w:val="00B4686E"/>
    <w:rsid w:val="00B505BD"/>
    <w:rsid w:val="00B50A20"/>
    <w:rsid w:val="00B529A6"/>
    <w:rsid w:val="00B55908"/>
    <w:rsid w:val="00B575D8"/>
    <w:rsid w:val="00B638ED"/>
    <w:rsid w:val="00B65791"/>
    <w:rsid w:val="00B65F1B"/>
    <w:rsid w:val="00B71502"/>
    <w:rsid w:val="00B72F68"/>
    <w:rsid w:val="00B73798"/>
    <w:rsid w:val="00B76295"/>
    <w:rsid w:val="00B766B8"/>
    <w:rsid w:val="00B76E17"/>
    <w:rsid w:val="00B77FCA"/>
    <w:rsid w:val="00B8002B"/>
    <w:rsid w:val="00B82F53"/>
    <w:rsid w:val="00B85F58"/>
    <w:rsid w:val="00B86963"/>
    <w:rsid w:val="00B90A86"/>
    <w:rsid w:val="00B91C24"/>
    <w:rsid w:val="00B9672B"/>
    <w:rsid w:val="00B9741A"/>
    <w:rsid w:val="00BA0116"/>
    <w:rsid w:val="00BA1CF1"/>
    <w:rsid w:val="00BA2032"/>
    <w:rsid w:val="00BA4E62"/>
    <w:rsid w:val="00BB22AE"/>
    <w:rsid w:val="00BB3A07"/>
    <w:rsid w:val="00BB669E"/>
    <w:rsid w:val="00BC04DA"/>
    <w:rsid w:val="00BC3527"/>
    <w:rsid w:val="00BC58E7"/>
    <w:rsid w:val="00BC6053"/>
    <w:rsid w:val="00BC684A"/>
    <w:rsid w:val="00BC6F92"/>
    <w:rsid w:val="00BC73D9"/>
    <w:rsid w:val="00BD16B4"/>
    <w:rsid w:val="00BD1F08"/>
    <w:rsid w:val="00BD25AA"/>
    <w:rsid w:val="00BD2AD7"/>
    <w:rsid w:val="00BD38BD"/>
    <w:rsid w:val="00BD4726"/>
    <w:rsid w:val="00BD6C80"/>
    <w:rsid w:val="00BD759A"/>
    <w:rsid w:val="00BE245B"/>
    <w:rsid w:val="00BE2639"/>
    <w:rsid w:val="00BE50E8"/>
    <w:rsid w:val="00BE6CF0"/>
    <w:rsid w:val="00BF3DFD"/>
    <w:rsid w:val="00BF463D"/>
    <w:rsid w:val="00BF48C8"/>
    <w:rsid w:val="00BF4C11"/>
    <w:rsid w:val="00C020F2"/>
    <w:rsid w:val="00C04BAC"/>
    <w:rsid w:val="00C05B9A"/>
    <w:rsid w:val="00C1101D"/>
    <w:rsid w:val="00C16FD1"/>
    <w:rsid w:val="00C20077"/>
    <w:rsid w:val="00C20351"/>
    <w:rsid w:val="00C23D27"/>
    <w:rsid w:val="00C24DE2"/>
    <w:rsid w:val="00C270F8"/>
    <w:rsid w:val="00C307CE"/>
    <w:rsid w:val="00C30E67"/>
    <w:rsid w:val="00C327E7"/>
    <w:rsid w:val="00C33263"/>
    <w:rsid w:val="00C33F5D"/>
    <w:rsid w:val="00C3707E"/>
    <w:rsid w:val="00C45B0B"/>
    <w:rsid w:val="00C463C5"/>
    <w:rsid w:val="00C46AC9"/>
    <w:rsid w:val="00C6007D"/>
    <w:rsid w:val="00C6189C"/>
    <w:rsid w:val="00C66B24"/>
    <w:rsid w:val="00C67B56"/>
    <w:rsid w:val="00C74066"/>
    <w:rsid w:val="00C74F7F"/>
    <w:rsid w:val="00C75409"/>
    <w:rsid w:val="00C7646A"/>
    <w:rsid w:val="00C81AF9"/>
    <w:rsid w:val="00C83F47"/>
    <w:rsid w:val="00C84411"/>
    <w:rsid w:val="00C84520"/>
    <w:rsid w:val="00C96395"/>
    <w:rsid w:val="00C97D63"/>
    <w:rsid w:val="00CA2344"/>
    <w:rsid w:val="00CA2351"/>
    <w:rsid w:val="00CA2C1C"/>
    <w:rsid w:val="00CB08E2"/>
    <w:rsid w:val="00CB1CA0"/>
    <w:rsid w:val="00CB2CE8"/>
    <w:rsid w:val="00CB37B3"/>
    <w:rsid w:val="00CB51F8"/>
    <w:rsid w:val="00CB7D1D"/>
    <w:rsid w:val="00CC0977"/>
    <w:rsid w:val="00CC1144"/>
    <w:rsid w:val="00CC1A53"/>
    <w:rsid w:val="00CC3A36"/>
    <w:rsid w:val="00CD20B4"/>
    <w:rsid w:val="00CD3922"/>
    <w:rsid w:val="00CD58B8"/>
    <w:rsid w:val="00CE1495"/>
    <w:rsid w:val="00CE184E"/>
    <w:rsid w:val="00CE34C1"/>
    <w:rsid w:val="00CE40F1"/>
    <w:rsid w:val="00CE5983"/>
    <w:rsid w:val="00CE5A3F"/>
    <w:rsid w:val="00CE611B"/>
    <w:rsid w:val="00CE6DC7"/>
    <w:rsid w:val="00CF17ED"/>
    <w:rsid w:val="00CF4380"/>
    <w:rsid w:val="00CF46DB"/>
    <w:rsid w:val="00CF6163"/>
    <w:rsid w:val="00CF7C25"/>
    <w:rsid w:val="00D065EA"/>
    <w:rsid w:val="00D0725A"/>
    <w:rsid w:val="00D10314"/>
    <w:rsid w:val="00D1622F"/>
    <w:rsid w:val="00D174F1"/>
    <w:rsid w:val="00D17F52"/>
    <w:rsid w:val="00D3005F"/>
    <w:rsid w:val="00D42309"/>
    <w:rsid w:val="00D45FF8"/>
    <w:rsid w:val="00D46D7E"/>
    <w:rsid w:val="00D5128F"/>
    <w:rsid w:val="00D52240"/>
    <w:rsid w:val="00D52DE0"/>
    <w:rsid w:val="00D52E8B"/>
    <w:rsid w:val="00D53285"/>
    <w:rsid w:val="00D550F5"/>
    <w:rsid w:val="00D56529"/>
    <w:rsid w:val="00D573FB"/>
    <w:rsid w:val="00D63E9A"/>
    <w:rsid w:val="00D6543F"/>
    <w:rsid w:val="00D70CAE"/>
    <w:rsid w:val="00D70F94"/>
    <w:rsid w:val="00D85C82"/>
    <w:rsid w:val="00D8655A"/>
    <w:rsid w:val="00D95669"/>
    <w:rsid w:val="00DA0C64"/>
    <w:rsid w:val="00DA58C0"/>
    <w:rsid w:val="00DB39B5"/>
    <w:rsid w:val="00DB41E5"/>
    <w:rsid w:val="00DB78E5"/>
    <w:rsid w:val="00DB7BFD"/>
    <w:rsid w:val="00DC2493"/>
    <w:rsid w:val="00DC28A1"/>
    <w:rsid w:val="00DC7AF1"/>
    <w:rsid w:val="00DD0C02"/>
    <w:rsid w:val="00DD17B9"/>
    <w:rsid w:val="00DD42BA"/>
    <w:rsid w:val="00DD5964"/>
    <w:rsid w:val="00DD5B3F"/>
    <w:rsid w:val="00DE13A8"/>
    <w:rsid w:val="00DE3789"/>
    <w:rsid w:val="00DE7C40"/>
    <w:rsid w:val="00DF2341"/>
    <w:rsid w:val="00DF5572"/>
    <w:rsid w:val="00DF5BFA"/>
    <w:rsid w:val="00DF62AA"/>
    <w:rsid w:val="00DF716C"/>
    <w:rsid w:val="00DF7A67"/>
    <w:rsid w:val="00E00140"/>
    <w:rsid w:val="00E01A3D"/>
    <w:rsid w:val="00E05116"/>
    <w:rsid w:val="00E07D06"/>
    <w:rsid w:val="00E15B72"/>
    <w:rsid w:val="00E16CB7"/>
    <w:rsid w:val="00E2051F"/>
    <w:rsid w:val="00E205AB"/>
    <w:rsid w:val="00E20AE5"/>
    <w:rsid w:val="00E32C0D"/>
    <w:rsid w:val="00E3492F"/>
    <w:rsid w:val="00E37E0C"/>
    <w:rsid w:val="00E42BB5"/>
    <w:rsid w:val="00E46AB7"/>
    <w:rsid w:val="00E5216C"/>
    <w:rsid w:val="00E54101"/>
    <w:rsid w:val="00E560CB"/>
    <w:rsid w:val="00E63909"/>
    <w:rsid w:val="00E671CE"/>
    <w:rsid w:val="00E67A20"/>
    <w:rsid w:val="00E705E7"/>
    <w:rsid w:val="00E748BF"/>
    <w:rsid w:val="00E76DD6"/>
    <w:rsid w:val="00E76DF8"/>
    <w:rsid w:val="00E80B4C"/>
    <w:rsid w:val="00E8637F"/>
    <w:rsid w:val="00E90229"/>
    <w:rsid w:val="00E91A37"/>
    <w:rsid w:val="00E96FD7"/>
    <w:rsid w:val="00E97938"/>
    <w:rsid w:val="00EA1A62"/>
    <w:rsid w:val="00EA3503"/>
    <w:rsid w:val="00EA7E33"/>
    <w:rsid w:val="00EB1EFB"/>
    <w:rsid w:val="00EB4996"/>
    <w:rsid w:val="00EB5412"/>
    <w:rsid w:val="00EC21DB"/>
    <w:rsid w:val="00EC4228"/>
    <w:rsid w:val="00ED16B7"/>
    <w:rsid w:val="00ED2B85"/>
    <w:rsid w:val="00ED3B76"/>
    <w:rsid w:val="00ED4CA1"/>
    <w:rsid w:val="00ED6FE3"/>
    <w:rsid w:val="00ED707F"/>
    <w:rsid w:val="00ED7F0F"/>
    <w:rsid w:val="00EE493B"/>
    <w:rsid w:val="00EE6A70"/>
    <w:rsid w:val="00EE7F1B"/>
    <w:rsid w:val="00EF2224"/>
    <w:rsid w:val="00F030D8"/>
    <w:rsid w:val="00F05A0C"/>
    <w:rsid w:val="00F113F5"/>
    <w:rsid w:val="00F125AC"/>
    <w:rsid w:val="00F16C37"/>
    <w:rsid w:val="00F206EF"/>
    <w:rsid w:val="00F23524"/>
    <w:rsid w:val="00F23800"/>
    <w:rsid w:val="00F2758E"/>
    <w:rsid w:val="00F32CD4"/>
    <w:rsid w:val="00F34380"/>
    <w:rsid w:val="00F34B4F"/>
    <w:rsid w:val="00F361CD"/>
    <w:rsid w:val="00F40FB5"/>
    <w:rsid w:val="00F43AE5"/>
    <w:rsid w:val="00F45305"/>
    <w:rsid w:val="00F5099F"/>
    <w:rsid w:val="00F54A24"/>
    <w:rsid w:val="00F57A5A"/>
    <w:rsid w:val="00F607D2"/>
    <w:rsid w:val="00F60CCB"/>
    <w:rsid w:val="00F6347F"/>
    <w:rsid w:val="00F64427"/>
    <w:rsid w:val="00F648A8"/>
    <w:rsid w:val="00F64C10"/>
    <w:rsid w:val="00F65A09"/>
    <w:rsid w:val="00F65BCD"/>
    <w:rsid w:val="00F675C0"/>
    <w:rsid w:val="00F7314E"/>
    <w:rsid w:val="00F73237"/>
    <w:rsid w:val="00F747E4"/>
    <w:rsid w:val="00F75CFD"/>
    <w:rsid w:val="00F76A28"/>
    <w:rsid w:val="00F81472"/>
    <w:rsid w:val="00F82534"/>
    <w:rsid w:val="00F85576"/>
    <w:rsid w:val="00F86AB1"/>
    <w:rsid w:val="00F879CF"/>
    <w:rsid w:val="00F9082E"/>
    <w:rsid w:val="00F96ACF"/>
    <w:rsid w:val="00F97F2D"/>
    <w:rsid w:val="00FA3CD7"/>
    <w:rsid w:val="00FA3E63"/>
    <w:rsid w:val="00FA438F"/>
    <w:rsid w:val="00FA4CB4"/>
    <w:rsid w:val="00FA4EDB"/>
    <w:rsid w:val="00FA569A"/>
    <w:rsid w:val="00FB40D1"/>
    <w:rsid w:val="00FC11D5"/>
    <w:rsid w:val="00FC70A4"/>
    <w:rsid w:val="00FD05FE"/>
    <w:rsid w:val="00FD1F98"/>
    <w:rsid w:val="00FD4A75"/>
    <w:rsid w:val="00FE077C"/>
    <w:rsid w:val="00FE5BD6"/>
    <w:rsid w:val="00FE5D4B"/>
    <w:rsid w:val="00FF3855"/>
    <w:rsid w:val="00FF4950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1A186-3823-44F5-9B9B-CFDB4DAC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507B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07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Гипертекстовая ссылка"/>
    <w:rsid w:val="0032507B"/>
    <w:rPr>
      <w:color w:val="008000"/>
    </w:rPr>
  </w:style>
  <w:style w:type="paragraph" w:customStyle="1" w:styleId="a4">
    <w:name w:val="Прижатый влево"/>
    <w:basedOn w:val="a"/>
    <w:next w:val="a"/>
    <w:rsid w:val="0032507B"/>
    <w:pPr>
      <w:widowControl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5">
    <w:name w:val="Цветовое выделение"/>
    <w:rsid w:val="0032507B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325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7B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E68E1"/>
    <w:pPr>
      <w:ind w:left="720"/>
      <w:contextualSpacing/>
    </w:pPr>
  </w:style>
  <w:style w:type="character" w:styleId="a9">
    <w:name w:val="Strong"/>
    <w:basedOn w:val="a0"/>
    <w:uiPriority w:val="22"/>
    <w:qFormat/>
    <w:rsid w:val="005F1280"/>
    <w:rPr>
      <w:b/>
      <w:bCs/>
    </w:rPr>
  </w:style>
  <w:style w:type="paragraph" w:styleId="aa">
    <w:name w:val="header"/>
    <w:basedOn w:val="a"/>
    <w:link w:val="ab"/>
    <w:uiPriority w:val="99"/>
    <w:unhideWhenUsed/>
    <w:rsid w:val="009822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22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9822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22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43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4370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07422.1000" TargetMode="External"/><Relationship Id="rId13" Type="http://schemas.openxmlformats.org/officeDocument/2006/relationships/hyperlink" Target="garantF1://1203828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25350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207422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207486.0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2207422.0" TargetMode="External"/><Relationship Id="rId14" Type="http://schemas.openxmlformats.org/officeDocument/2006/relationships/hyperlink" Target="garantF1://120382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Mashburo2</cp:lastModifiedBy>
  <cp:revision>6</cp:revision>
  <cp:lastPrinted>2015-11-24T06:03:00Z</cp:lastPrinted>
  <dcterms:created xsi:type="dcterms:W3CDTF">2015-11-19T06:27:00Z</dcterms:created>
  <dcterms:modified xsi:type="dcterms:W3CDTF">2015-11-25T12:46:00Z</dcterms:modified>
</cp:coreProperties>
</file>