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5071B9" w:rsidRDefault="00831778" w:rsidP="005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71B9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D9A" w:rsidRPr="00EC6C91" w:rsidRDefault="00192D9A" w:rsidP="00192D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Pr="00EC6C91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Pr="00EC6C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  <w:r w:rsidRPr="00EC6C91">
              <w:rPr>
                <w:rFonts w:ascii="Times New Roman" w:hAnsi="Times New Roman" w:cs="Times New Roman"/>
              </w:rPr>
              <w:t>7</w:t>
            </w:r>
            <w:r w:rsidRPr="00680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С-</w:t>
            </w:r>
            <w:r w:rsidRPr="00EC6C9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</w:t>
            </w:r>
            <w:r w:rsidR="00055B4B">
              <w:rPr>
                <w:rFonts w:ascii="Times New Roman" w:hAnsi="Times New Roman" w:cs="Times New Roman"/>
              </w:rPr>
              <w:t>10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D53C6B" w:rsidRDefault="00831778" w:rsidP="00D53C6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C6D" w:rsidRPr="00404227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747" w:rsidRDefault="0081674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B4B" w:rsidRPr="006922D2" w:rsidRDefault="00055B4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D9A" w:rsidRPr="00570003" w:rsidRDefault="00192D9A" w:rsidP="00192D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00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Pr="005700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Pr="00570003">
              <w:rPr>
                <w:rFonts w:ascii="Times New Roman" w:hAnsi="Times New Roman" w:cs="Times New Roman"/>
              </w:rPr>
              <w:t>7</w:t>
            </w:r>
            <w:r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</w:t>
            </w:r>
            <w:r w:rsidRPr="00EC6C9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</w:t>
            </w:r>
            <w:r w:rsidR="00055B4B">
              <w:rPr>
                <w:rFonts w:ascii="Times New Roman" w:hAnsi="Times New Roman" w:cs="Times New Roman"/>
              </w:rPr>
              <w:t>10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DF682E" w:rsidRPr="001B37EB" w:rsidRDefault="00DF682E" w:rsidP="00831778">
      <w:pPr>
        <w:pStyle w:val="a5"/>
        <w:ind w:firstLine="720"/>
        <w:rPr>
          <w:b w:val="0"/>
          <w:szCs w:val="26"/>
        </w:rPr>
      </w:pPr>
    </w:p>
    <w:tbl>
      <w:tblPr>
        <w:tblW w:w="9376" w:type="dxa"/>
        <w:tblLook w:val="01E0" w:firstRow="1" w:lastRow="1" w:firstColumn="1" w:lastColumn="1" w:noHBand="0" w:noVBand="0"/>
      </w:tblPr>
      <w:tblGrid>
        <w:gridCol w:w="9775"/>
        <w:gridCol w:w="222"/>
      </w:tblGrid>
      <w:tr w:rsidR="00831778" w:rsidRPr="001B37EB" w:rsidTr="00E8488B">
        <w:trPr>
          <w:trHeight w:val="941"/>
        </w:trPr>
        <w:tc>
          <w:tcPr>
            <w:tcW w:w="4921" w:type="dxa"/>
          </w:tcPr>
          <w:tbl>
            <w:tblPr>
              <w:tblW w:w="9936" w:type="dxa"/>
              <w:tblLook w:val="01E0" w:firstRow="1" w:lastRow="1" w:firstColumn="1" w:lastColumn="1" w:noHBand="0" w:noVBand="0"/>
            </w:tblPr>
            <w:tblGrid>
              <w:gridCol w:w="4537"/>
              <w:gridCol w:w="5399"/>
            </w:tblGrid>
            <w:tr w:rsidR="001B37EB" w:rsidRPr="001B37EB" w:rsidTr="00D24D2D">
              <w:tc>
                <w:tcPr>
                  <w:tcW w:w="4537" w:type="dxa"/>
                </w:tcPr>
                <w:p w:rsidR="001B37EB" w:rsidRPr="001B37EB" w:rsidRDefault="003C7FE9" w:rsidP="001B37E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 отчете Контрольно-счетного органа Красноармейского рай</w:t>
                  </w:r>
                  <w:r w:rsidR="00192D9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она Чувашской Республики за 2016</w:t>
                  </w:r>
                  <w:r w:rsidRPr="00B20BE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5399" w:type="dxa"/>
                </w:tcPr>
                <w:p w:rsidR="001B37EB" w:rsidRPr="001B37EB" w:rsidRDefault="001B37EB" w:rsidP="00D24D2D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31778" w:rsidRPr="001B37EB" w:rsidRDefault="00831778" w:rsidP="000A27D6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55" w:type="dxa"/>
          </w:tcPr>
          <w:p w:rsidR="00831778" w:rsidRPr="001B37EB" w:rsidRDefault="00831778" w:rsidP="008368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F682E" w:rsidRDefault="00DF682E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B37EB" w:rsidRPr="001B37EB" w:rsidRDefault="001B37EB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BE002D" w:rsidRPr="00C35674" w:rsidRDefault="003C7FE9" w:rsidP="003C7F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8EC">
        <w:rPr>
          <w:rFonts w:ascii="Times New Roman" w:hAnsi="Times New Roman" w:cs="Times New Roman"/>
          <w:sz w:val="26"/>
          <w:szCs w:val="26"/>
        </w:rPr>
        <w:t xml:space="preserve">Заслушав и обсудив отчет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Контрольно-счетного органа Красноармейского района Чувашской Республики Трофимовой М.В. об итогах </w:t>
      </w:r>
      <w:r w:rsidR="00192D9A">
        <w:rPr>
          <w:rFonts w:ascii="Times New Roman" w:hAnsi="Times New Roman" w:cs="Times New Roman"/>
          <w:sz w:val="26"/>
          <w:szCs w:val="26"/>
        </w:rPr>
        <w:t>работы за 2016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04227" w:rsidRPr="00C35674" w:rsidRDefault="00404227" w:rsidP="003C7F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22F7" w:rsidRPr="001B37EB" w:rsidRDefault="008B22F7" w:rsidP="004042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1B37E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B37EB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E27248" w:rsidRPr="00055B4B" w:rsidRDefault="00E27248" w:rsidP="00055B4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2F38" w:rsidRPr="00055B4B" w:rsidRDefault="00055B4B" w:rsidP="00055B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3C7FE9" w:rsidRPr="00055B4B">
        <w:rPr>
          <w:rFonts w:ascii="Times New Roman" w:hAnsi="Times New Roman" w:cs="Times New Roman"/>
          <w:sz w:val="26"/>
          <w:szCs w:val="26"/>
        </w:rPr>
        <w:t>Отчет председателя Контрольно-счетного органа Красноармейского района Чувашской Республики Трофимов</w:t>
      </w:r>
      <w:r w:rsidR="00192D9A" w:rsidRPr="00055B4B">
        <w:rPr>
          <w:rFonts w:ascii="Times New Roman" w:hAnsi="Times New Roman" w:cs="Times New Roman"/>
          <w:sz w:val="26"/>
          <w:szCs w:val="26"/>
        </w:rPr>
        <w:t>ой М.В. об итогах работы за 2016</w:t>
      </w:r>
      <w:r w:rsidR="003C7FE9" w:rsidRPr="00055B4B">
        <w:rPr>
          <w:rFonts w:ascii="Times New Roman" w:hAnsi="Times New Roman" w:cs="Times New Roman"/>
          <w:sz w:val="26"/>
          <w:szCs w:val="26"/>
        </w:rPr>
        <w:t xml:space="preserve"> год  принять к сведению</w:t>
      </w:r>
      <w:r w:rsidR="00452F38" w:rsidRPr="00055B4B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3C7FE9" w:rsidRPr="00055B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7FE9" w:rsidRPr="00055B4B" w:rsidRDefault="00055B4B" w:rsidP="00055B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3C7FE9" w:rsidRPr="00055B4B">
        <w:rPr>
          <w:rFonts w:ascii="Times New Roman" w:hAnsi="Times New Roman" w:cs="Times New Roman"/>
          <w:sz w:val="26"/>
          <w:szCs w:val="26"/>
        </w:rPr>
        <w:t>Деятельность Контрольно-счетного органа Красноармейского района Чувашской Республики признать удовлетворительной.</w:t>
      </w:r>
    </w:p>
    <w:p w:rsidR="00763AF9" w:rsidRPr="00055B4B" w:rsidRDefault="00763AF9" w:rsidP="00055B4B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B37EB" w:rsidRPr="00055B4B" w:rsidRDefault="001B37EB" w:rsidP="00055B4B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B37EB" w:rsidRPr="001B37EB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831778" w:rsidRPr="001B37EB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831778" w:rsidRPr="00C35674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</w:t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ab/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ab/>
      </w:r>
      <w:r w:rsidRPr="001B37E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>О.В. Димитриев</w:t>
      </w:r>
    </w:p>
    <w:p w:rsidR="00404227" w:rsidRDefault="00404227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ar34"/>
      <w:bookmarkEnd w:id="0"/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Отчет о деятельности Контрольно-счетного органа </w:t>
      </w:r>
    </w:p>
    <w:p w:rsidR="00352BF9" w:rsidRPr="00352BF9" w:rsidRDefault="00352BF9" w:rsidP="00352BF9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BF9">
        <w:rPr>
          <w:rFonts w:ascii="Times New Roman" w:hAnsi="Times New Roman" w:cs="Times New Roman"/>
          <w:sz w:val="24"/>
          <w:szCs w:val="24"/>
        </w:rPr>
        <w:t>за 2016 год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1. Вводные положения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F9">
        <w:rPr>
          <w:rFonts w:ascii="Times New Roman" w:hAnsi="Times New Roman" w:cs="Times New Roman"/>
          <w:sz w:val="24"/>
          <w:szCs w:val="24"/>
        </w:rPr>
        <w:t xml:space="preserve">Настоящий отчет о деятельности Контрольно-счетного органа Красноармейского района Чувашской Республики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2BF9">
        <w:rPr>
          <w:rFonts w:ascii="Times New Roman" w:hAnsi="Times New Roman" w:cs="Times New Roman"/>
          <w:sz w:val="24"/>
          <w:szCs w:val="24"/>
        </w:rPr>
        <w:t xml:space="preserve"> Контрольно-счетный орган) за 2016 год подготовлен в соответствии с решением Собрания депутатов Красноармейского района от 21 декабря 2012 № С-20/4 «О Контрольн</w:t>
      </w:r>
      <w:bookmarkStart w:id="1" w:name="_GoBack"/>
      <w:bookmarkEnd w:id="1"/>
      <w:r w:rsidRPr="00352BF9">
        <w:rPr>
          <w:rFonts w:ascii="Times New Roman" w:hAnsi="Times New Roman" w:cs="Times New Roman"/>
          <w:sz w:val="24"/>
          <w:szCs w:val="24"/>
        </w:rPr>
        <w:t>о-счетном органе Красноармейского района Чувашской Республики» и стандартом организации деятельности «Порядок подготовки годового отчета о деятельности Контрольно-счетного органа Красноармейского района Чувашской Республики», утвержденным приказом Контрольно-счетного органа от 19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 xml:space="preserve"> сентября 2013 года №5. 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Контрольно-счетный орган в отчетном периоде осуществлял свою деятельность на основе действующего законодательства Российской Федерации, Чувашской Республики, нормативно-правовых актов Красноармейского района Чувашской Республики, в соответствии с планом работы на 2016 год и текущими квартальными планами работы.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F9">
        <w:rPr>
          <w:rFonts w:ascii="Times New Roman" w:hAnsi="Times New Roman" w:cs="Times New Roman"/>
          <w:sz w:val="24"/>
          <w:szCs w:val="24"/>
        </w:rPr>
        <w:t xml:space="preserve">В соответствии со статьей 1 «Положения о Контрольно-счетном органе Красноармейского района Чувашской Республики», утвержденного решением Собрания депутатов  Красноармейского района Чувашской Республики от 21 декабря 2012 года № С-20/4 (далее по тексту Положение) Контрольно-счетный орган является постоянно действующим органом внешнего муниципального финансового контроля, образуемым Собранием депутатов Красноармейского района Чувашской Республики, и подотчетен ему. </w:t>
      </w:r>
      <w:proofErr w:type="gramEnd"/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Его полномочия определены статьей 2 Положения. 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В соответствии со статьей 7 Положения внешний муниципальный финансовый контроль осуществляется в форме контрольных мероприятий и экспертно-аналитических мероприятий. 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2. Основные итоги деятельности Контрольно-счетного органа за 2016 год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В 2016 году Контрольно-счетным органом было проведено  102 контрольных  и экспертно-аналитических мероприятий, в том числе 9 контрольных мероприятий и 93 экспертно-аналитических мероприятий. 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Контрольные мероприятия осуществлены в отношении: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- 5 главных администраторов бюджетных сре</w:t>
      </w:r>
      <w:proofErr w:type="gramStart"/>
      <w:r w:rsidRPr="00352BF9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>асти внешних проверок годовой бюджетной отчетности;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F9">
        <w:rPr>
          <w:rFonts w:ascii="Times New Roman" w:hAnsi="Times New Roman" w:cs="Times New Roman"/>
          <w:sz w:val="24"/>
          <w:szCs w:val="24"/>
        </w:rPr>
        <w:t>- администрации Красноармейского района в части законности, результативности (эффективности и экономности) использования средства бюджета Красноармейского района Чувашской Республики, выделенных на реализацию мероприятий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«Развитие жилищного строительства и сферы жилищно-коммунального хозяйства» за 2014-2015 годы;</w:t>
      </w:r>
      <w:proofErr w:type="gramEnd"/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- администрации Красноармейского района в части законности, результативности (эффективности и экономности) использования средств бюджета Красноармейского района Чувашской Республики, выделенных на реализацию мероприятий подпрограммы «Переселение граждан из аварийного жилищного фонда, расположенного на территории Красноармейского района Чувашской Республики» муниципальной программы «Развитие жилищного строительства и сферы жилищно-коммунального хозяйства» (2 этап);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- Исаковского и </w:t>
      </w:r>
      <w:proofErr w:type="spellStart"/>
      <w:r w:rsidRPr="00352BF9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352BF9">
        <w:rPr>
          <w:rFonts w:ascii="Times New Roman" w:hAnsi="Times New Roman" w:cs="Times New Roman"/>
          <w:sz w:val="24"/>
          <w:szCs w:val="24"/>
        </w:rPr>
        <w:t xml:space="preserve"> сельских поселений в части использования межбюджетных трансфертов, предоставленных из бюджета Красноармейского района. 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Контрольными мероприятиями были охвачены средства на общую сумму 349672,9 тыс. рублей (в 2014 году – 29629,3 тыс. рублей, в 2015 году – 320043,6 тыс. рублей). Из общей суммы проверенных средств 291521,0 тыс. рублей составляют средства внешней проверки годовой бюджетной отчетности.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контрольных мероприятий в адрес руководителей проверенных учреждений подготовлено и направлено 4 представления  для принятия мер по устранению выявленных нарушений. 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Отчеты о результатах контрольных мероприятий доводились до Собрания депутатов Красноармейского района и 2 отчета из 9 направлены в прокуратуру Красноармейского района.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2B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 xml:space="preserve"> формированием и исполнением бюджета Красноармейского района и бюджетов сельских поселений Красноармейского района (в соответствии с заключенными соглашениями)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3.1. Предварительный контроль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В течение года Контрольно-счетным органом проведена экспертиза 4 проектов решений Собраний депутатов Красноармейского района «О внесении изменений и дополнений в бюджет Красноармейского района на 2016 год» и 19 проектов решений Собраний депутатов сельских поселений Красноармейского района «О внесении изменений и дополнений в бюджеты сельских поселений Красноармейского района на 2016 год». 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F9">
        <w:rPr>
          <w:rFonts w:ascii="Times New Roman" w:hAnsi="Times New Roman" w:cs="Times New Roman"/>
          <w:sz w:val="24"/>
          <w:szCs w:val="24"/>
        </w:rPr>
        <w:t>Проведена также экспертиза проекта  решения Собрания депутатов Красноармейского района «О бюджете Красноармейского района Чувашской Республики на 2017 год и на плановый период 2018 и 2019 годов» и 9 экспертиз на проекты решений Собраний депутатов сельских поселений Красноармейского района о бюджетах сельских поселений Красноармейского района Чувашской Республики на 2017 год и на плановый период 2018 и 2019 годов.</w:t>
      </w:r>
      <w:proofErr w:type="gramEnd"/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По итогам рассмотрения проектов решений подготовлены и направлены Собранию депутатов Красноармейского района и Собраниям депутатов сельских поселений Красноармейского района заключения, в которых предложено принять проекты решений в установленном порядке.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3.2. Текущий контроль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F9">
        <w:rPr>
          <w:rFonts w:ascii="Times New Roman" w:hAnsi="Times New Roman" w:cs="Times New Roman"/>
          <w:sz w:val="24"/>
          <w:szCs w:val="24"/>
        </w:rPr>
        <w:t>В виде текущего контроля исполнения бюджета Красноармейского района подготовлено и представлено Собранию депутатов Красноармейского района и Главе Красноармейского района информация об исполнении бюджета Красноармейского района Чувашской Республики за 1 квартал, 1 полугодие и 9 месяцев 2016 года, а также исполнения бюджетов сельских поселений Красноармейского района Чувашской Республики за 1 полугодие и 9 месяцев 2016 года.</w:t>
      </w:r>
      <w:proofErr w:type="gramEnd"/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3.3. Последующий контроль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F9">
        <w:rPr>
          <w:rFonts w:ascii="Times New Roman" w:hAnsi="Times New Roman" w:cs="Times New Roman"/>
          <w:sz w:val="24"/>
          <w:szCs w:val="24"/>
        </w:rPr>
        <w:t>В соответствии с полномочиями, определенными статьей 72 решения Собрания депутатов Красноармейского района Чувашской Республики от 02.03.2015 № С-44/4 «Об утверждении Положения о регулировании бюджетных правоотношений в  Красноармейском районе Чувашской Республики», Контрольно-счетным органом по результатам внешней проверки годовой бюджетной отчетности за 2015 год подготовлено 5 заключений по всем главным распорядителям средств бюджета Красноармейского района, главным администраторам доходов бюджета Красноармейского района, главным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 xml:space="preserve"> администраторам источников финансирования дефицита бюджета Красноармейского района, которые доведены до сведения руководителей учреждений. </w:t>
      </w:r>
      <w:proofErr w:type="gramStart"/>
      <w:r w:rsidRPr="00352BF9">
        <w:rPr>
          <w:rFonts w:ascii="Times New Roman" w:hAnsi="Times New Roman" w:cs="Times New Roman"/>
          <w:sz w:val="24"/>
          <w:szCs w:val="24"/>
        </w:rPr>
        <w:t xml:space="preserve">Проведенными проверками выявлены факты неэффективного управления бюджетными средствами, выразившиеся в </w:t>
      </w:r>
      <w:proofErr w:type="spellStart"/>
      <w:r w:rsidRPr="00352BF9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Pr="00352BF9">
        <w:rPr>
          <w:rFonts w:ascii="Times New Roman" w:hAnsi="Times New Roman" w:cs="Times New Roman"/>
          <w:sz w:val="24"/>
          <w:szCs w:val="24"/>
        </w:rPr>
        <w:t xml:space="preserve"> средств в общей сумме 9501,8 тыс. рублей, из них основную долю занимает финансовый отдел администрация Красноармейского района – 5154,5 тыс. рублей или 90,4% к утвержденной сводной бюджетной росписи и администрация Красноармейского района – 3776,8 тыс. рублей или 95,4% к утвержденной сводной бюджетной росписи. </w:t>
      </w:r>
      <w:proofErr w:type="gramEnd"/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В рамках последующего контроля проведена экспертиза проекта годового отчета об исполнении бюджета Красноармейского района за 2015 год. </w:t>
      </w:r>
      <w:proofErr w:type="gramStart"/>
      <w:r w:rsidRPr="00352BF9">
        <w:rPr>
          <w:rFonts w:ascii="Times New Roman" w:hAnsi="Times New Roman" w:cs="Times New Roman"/>
          <w:sz w:val="24"/>
          <w:szCs w:val="24"/>
        </w:rPr>
        <w:t xml:space="preserve">Подготовлено заключение, в котором отмечено, что исполнение бюджета Красноармейского района осуществлялось в соответствии с требованиями Бюджетного кодекса Российской Федерации, решений Собрания </w:t>
      </w:r>
      <w:r w:rsidRPr="00352BF9">
        <w:rPr>
          <w:rFonts w:ascii="Times New Roman" w:hAnsi="Times New Roman" w:cs="Times New Roman"/>
          <w:sz w:val="24"/>
          <w:szCs w:val="24"/>
        </w:rPr>
        <w:lastRenderedPageBreak/>
        <w:t>депутатов Красноармейского района «О бюджете Красноармейского района Чувашской Республики на 2015 год и на плановый период 2016 и 2017 годов», «Об утверждении Положения о регулировании бюджетных правоотношений в Красноармейском районе Чувашской Республики» и иных нормативных и правовых актов Российской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 xml:space="preserve"> Федерации, Чувашской Республики и нормативно-правовых актов Красноармейского района Чувашской Республики. Заключение было направлено Собранию депутатов Красноармейского района.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На основе внешней проверки годовой бюджетной отчетности подготовлено 9 заключений на годовые отчеты об исполнении бюджетов сельских поселений Красноармейского района за 2015 год, в котором сделаны выводы о достоверности представленных отчетов об исполнении бюджетов сельских поселений Красноармейского района за 2015 год. В установленные бюджетным законодательством сроки заключения были направлены Собраниям депутатов сельских поселений Красноармейского района.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Из общего количества плановых контрольных мероприятий 1 проведено в соответствии с поручениями Собрания депутатов Красноармейского района; 1 - инициировано Контрольно-счетным органом в соответствии с решением Собрания депутатов Красноармейского района «О Контрольно-счетном органе Красноармейского района Чувашской Республики», 2 - инициировано Контрольно-счетной палатой Чувашской Республики, 1 - Прокуратурой Красноармейского района. Проведенными проверками выявлены нарушения бюджетного законодательства, законодательства о бухгалтерском учете и другие. 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При проведении контрольных мероприятий, в рамках полномочий Контрольно-счетного органа, проверялись вопросы соблюдения государственными и муниципальными заказчиками положений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нужд». Проверкой по данному вопросу охвачен 1 муниципальный заказчик с охватом 5 муниципальных контрактов. Общая сумма проверенных контрактов на размещение заказов поставки товаров, работ и услуг составила 17146,1 тыс. рублей. 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4. Экспертно-аналитическая деятельность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В отчетном периоде Контрольно-счетным органом было проведено 93 экспертно-аналитических мероприятий.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На экспертизу поступило 84 проекта решения, на которые подготовлены следующие заключения: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4 - на проекты решений Собрания депутатов Красноармейского района Чувашской Республики «О внесении изменений и дополнений в решение Собрания депутатов Красноармейского района Чувашской Республики «О бюджете Красноармейского района Чувашской Республики на 2016 год»;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19 - на проекты </w:t>
      </w:r>
      <w:proofErr w:type="gramStart"/>
      <w:r w:rsidRPr="00352BF9">
        <w:rPr>
          <w:rFonts w:ascii="Times New Roman" w:hAnsi="Times New Roman" w:cs="Times New Roman"/>
          <w:sz w:val="24"/>
          <w:szCs w:val="24"/>
        </w:rPr>
        <w:t>решений Собраний депутатов сельских поселений Красноармейского района Чувашской Республики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решения Собраний депутатов сельских поселений Красноармейского района Чувашской Республики о бюджетах сельских поселений Красноармейского района Чувашской Республики на 2016 год;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1 - на проект решения Собрания депутатов Красноармейского района Чувашской Республики «О бюджете Красноармейского района Чувашской Республики на 2017 год и на плановый период 2018 и 2019 годов»;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9 - на проекты </w:t>
      </w:r>
      <w:proofErr w:type="gramStart"/>
      <w:r w:rsidRPr="00352BF9">
        <w:rPr>
          <w:rFonts w:ascii="Times New Roman" w:hAnsi="Times New Roman" w:cs="Times New Roman"/>
          <w:sz w:val="24"/>
          <w:szCs w:val="24"/>
        </w:rPr>
        <w:t>решений Собраний депутатов сельских поселений Красноармейского района Чувашской Республики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 xml:space="preserve"> о бюджетах </w:t>
      </w:r>
      <w:r w:rsidRPr="00352BF9">
        <w:rPr>
          <w:rFonts w:ascii="Times New Roman" w:hAnsi="Times New Roman" w:cs="Times New Roman"/>
          <w:sz w:val="24"/>
          <w:szCs w:val="24"/>
        </w:rPr>
        <w:t>сельских поселений К</w:t>
      </w:r>
      <w:r w:rsidRPr="00352BF9">
        <w:rPr>
          <w:rFonts w:ascii="Times New Roman" w:hAnsi="Times New Roman" w:cs="Times New Roman"/>
          <w:sz w:val="24"/>
          <w:szCs w:val="24"/>
        </w:rPr>
        <w:t>расноармейского района Чувашской Республики на 2017 год и на плановый период 2018 и 2019 годов;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1 - </w:t>
      </w:r>
      <w:r w:rsidRPr="00352BF9">
        <w:rPr>
          <w:rFonts w:ascii="Times New Roman" w:hAnsi="Times New Roman" w:cs="Times New Roman"/>
          <w:sz w:val="24"/>
          <w:szCs w:val="24"/>
        </w:rPr>
        <w:t>на отчет об исполнении бюджета Красноармейского района Чувашской Республики за 2015 год;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9 - </w:t>
      </w:r>
      <w:r w:rsidRPr="00352BF9">
        <w:rPr>
          <w:rFonts w:ascii="Times New Roman" w:hAnsi="Times New Roman" w:cs="Times New Roman"/>
          <w:sz w:val="24"/>
          <w:szCs w:val="24"/>
        </w:rPr>
        <w:t>на отчет об исполнении бюджетов сельских поселений Красноармейского района Чувашской Республики за 2015 год.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1 – на проект решения Собрания депутатов Красноармейского района Чувашской Республики «Об утверждении Положения «О регулирование бюджетных правоотношений в Красноармейском районе Чувашской Республики»;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9 – на проекты </w:t>
      </w:r>
      <w:proofErr w:type="gramStart"/>
      <w:r w:rsidRPr="00352BF9">
        <w:rPr>
          <w:rFonts w:ascii="Times New Roman" w:hAnsi="Times New Roman" w:cs="Times New Roman"/>
          <w:sz w:val="24"/>
          <w:szCs w:val="24"/>
        </w:rPr>
        <w:t>решений Собраний депутатов сельских поселений Красноармейского района Чувашской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 xml:space="preserve"> Республики «Об утверждении Положений о регулировании бюджетных </w:t>
      </w:r>
      <w:r w:rsidRPr="00352BF9">
        <w:rPr>
          <w:rFonts w:ascii="Times New Roman" w:hAnsi="Times New Roman" w:cs="Times New Roman"/>
          <w:sz w:val="24"/>
          <w:szCs w:val="24"/>
        </w:rPr>
        <w:lastRenderedPageBreak/>
        <w:t>правоотношений в сельских поселениях Красноармейского района Чувашской Республики;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1 – на проект решения Собрания депутатов Красноармейского района Чувашской Республики «О внесение изменений в решение Собрания депутатов Красноармейского района от 28.10.2013 № С-29/2 «О создании муниципального дорожного фонда Красноармейского района Чувашской Республики»;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1 – на проект решения Собрания депутатов Красноармейского района Чувашской Республики «Об утверждении методик расчетов распределения межбюджетных трансфертов между бюджетами поселений Красноармейского района Чувашской Республики»;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9 – на проекты </w:t>
      </w:r>
      <w:proofErr w:type="gramStart"/>
      <w:r w:rsidRPr="00352BF9">
        <w:rPr>
          <w:rFonts w:ascii="Times New Roman" w:hAnsi="Times New Roman" w:cs="Times New Roman"/>
          <w:sz w:val="24"/>
          <w:szCs w:val="24"/>
        </w:rPr>
        <w:t>решений Собраний депутатов сельских поселений Красноармейского района Чувашской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 xml:space="preserve"> Республики «Об утверждении методики предоставления иных межбюджетных трансфертов из бюджетов сельских поселений Красноармейского района Чувашской Республики в бюджет Красноармейского района Чувашской Республики»;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1 – на проект решения Собрания депутатов Красноармейского района «О внесении изменений в решение Красноармейского районного </w:t>
      </w:r>
      <w:proofErr w:type="gramStart"/>
      <w:r w:rsidRPr="00352BF9">
        <w:rPr>
          <w:rFonts w:ascii="Times New Roman" w:hAnsi="Times New Roman" w:cs="Times New Roman"/>
          <w:sz w:val="24"/>
          <w:szCs w:val="24"/>
        </w:rPr>
        <w:t>Собрания депутатов Красноармейского районного Собрания депутатов Чувашской Республики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 xml:space="preserve"> от 31.10.2005 «О введении системы налогообложения в виде единого налога на вмененный доход для отдельных видов деятельности»;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1 – на проект решения Собрания депутатов Красноармейского района «О частичной замене дотации на выравнивание бюджетной обеспеченности Красноармейского района дополнительным нормативом отчислений от налога на доходы физических лиц»;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9 – на проекты решений Собраний депутатов сельских поселений Красноармейского района «О частичной замене дотации на выравнивание бюджетной обеспеченности сельских поселений Красноармейского района дополнительным нормативом отчислений от налога на доходы физических лиц»;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9 – на проекты решений Собраний депутатов сельских поселений Красноармейского района «О признании утратившим силу решения Собраний депутатов сельских поселений «О порядке </w:t>
      </w:r>
      <w:proofErr w:type="gramStart"/>
      <w:r w:rsidRPr="00352BF9">
        <w:rPr>
          <w:rFonts w:ascii="Times New Roman" w:hAnsi="Times New Roman" w:cs="Times New Roman"/>
          <w:sz w:val="24"/>
          <w:szCs w:val="24"/>
        </w:rPr>
        <w:t>ведения реестра расходных обязательств сельских поселений Красноармейского района Чувашской Республики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>».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Также поступило 9 проектов постановлений администраций сельских поселений «Об утверждении Порядка ведения реестра расходных обязательств сельских поселений Красноармейского района Чувашской </w:t>
      </w:r>
      <w:proofErr w:type="gramStart"/>
      <w:r w:rsidRPr="00352BF9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 xml:space="preserve">» на которые подготовлены заключения. 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5. Рассмотрение обращений, поступивших в Контрольно-счетный орган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В 2016 году в Контрольно-счетный орган обращения не поступали. 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6. Взаимодействие Контрольно-счетного органа с государственными и муниципальными органами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 xml:space="preserve">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аудита (контроля) в 2013 году при Контрольно-счетной палате Чувашской Республики создан Совет контрольно-счетных органов Чувашской Республики, в состав которого вошел Контрольно-счетный орган Красноармейского района. 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При осуществлении деятельности Контрольно-счетный орган на основе соглашений о сотрудничестве взаимодействует с Контрольно-счетной палатой Чувашской Республики, Прокуратурой Красноармейского района, Управлением Федерального казначейства по Чувашской Республике.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7. Информирование общественности о деятельности Контрольно-счетного органа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В соответствии с требованиями статьи 13 «Положения о Контрольно-счетном органе Красноармейского района Чувашской Республики» на сайте Контрольно-счетного органа в сети Интернет в течение отчетного периода размещались планы работы, основные результаты проведенных контрольных и экспертно-аналитических мероприятий, заключения на проекты решений, отчеты, методические материалы и стандарты, информация о деятельности Контрольно-счетного органа.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lastRenderedPageBreak/>
        <w:t>8. Обеспечение деятельности Контрольно-счетного органа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F9">
        <w:rPr>
          <w:rFonts w:ascii="Times New Roman" w:hAnsi="Times New Roman" w:cs="Times New Roman"/>
          <w:sz w:val="24"/>
          <w:szCs w:val="24"/>
        </w:rPr>
        <w:t>В соответствии с ведомственной структурой расходов бюджета Красноармейского района Чувашской Республики на 2016 год (приложение 7 к решению Собрания депутатов Красноармейского района Чувашской Республики от 21 декабря 2015 года № С-4/2 «О бюджете Красноармейского района Чувашской Республики на 2016 год» с изменениями) бюджетные ассигнования, утвержденные Контрольно-счетному органу, составили 517,2 тыс. рублей.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 xml:space="preserve"> Бюджетная смета исполнена в сумме 517,1 тыс. рублей или на 100,0% к утвержденным назначениям.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В 2015 году действия должностных лиц Контрольно-счетного органа в судах не обжаловались, иски не предъявлялись.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При осуществлении контроля Контрольно-счетный орган руководствуется внедренными в практику стандартами внешнего финансового контроля.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В отчетном периоде Контрольно-счетным органом была обеспечена реализация полномочий, возложенных на нее Бюджетным кодексом Российской Федерации, решением Собрания депутатов Красноармейского района «О Контрольно-счетном органе Красноармейского района Чувашской Республики».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F9">
        <w:rPr>
          <w:rFonts w:ascii="Times New Roman" w:hAnsi="Times New Roman" w:cs="Times New Roman"/>
          <w:sz w:val="24"/>
          <w:szCs w:val="24"/>
        </w:rPr>
        <w:t>В 2017 году Контрольно-счетным органом будет продолжена работа по осуществлению контроля формирования и исполнения бюджета Красноармейского района Чувашской Республики, управления и распоряжения имуществом, находящимся в муниципальной собственности Красноармейского района Чувашской Республики, внедрению в контрольную практику новых форм и методов работы, совершенствованию правового, методологического и информационного обеспечения государственного и муниципального финансового контроля на территории Красноармейского района Чувашской Республики, расширению взаимодействия с</w:t>
      </w:r>
      <w:proofErr w:type="gramEnd"/>
      <w:r w:rsidRPr="00352BF9"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органами, органами государственной власти, территориальными и контрольно-счетными органами муниципальных образований.</w:t>
      </w: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F9" w:rsidRPr="00352BF9" w:rsidRDefault="00352BF9" w:rsidP="00352BF9">
      <w:pPr>
        <w:rPr>
          <w:rFonts w:ascii="Times New Roman" w:hAnsi="Times New Roman" w:cs="Times New Roman"/>
          <w:sz w:val="24"/>
          <w:szCs w:val="24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BF9" w:rsidRPr="00192D9A" w:rsidRDefault="00352BF9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52BF9" w:rsidRPr="00192D9A" w:rsidSect="00352BF9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A37B54"/>
    <w:multiLevelType w:val="hybridMultilevel"/>
    <w:tmpl w:val="EB14F85E"/>
    <w:lvl w:ilvl="0" w:tplc="189C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5338E"/>
    <w:rsid w:val="00055B4B"/>
    <w:rsid w:val="0008121D"/>
    <w:rsid w:val="00084B09"/>
    <w:rsid w:val="000A27D6"/>
    <w:rsid w:val="000B1D39"/>
    <w:rsid w:val="000C561E"/>
    <w:rsid w:val="001132B7"/>
    <w:rsid w:val="00127B5E"/>
    <w:rsid w:val="00144DB0"/>
    <w:rsid w:val="001476EE"/>
    <w:rsid w:val="00151F09"/>
    <w:rsid w:val="00170777"/>
    <w:rsid w:val="00181600"/>
    <w:rsid w:val="00192D9A"/>
    <w:rsid w:val="001B37EB"/>
    <w:rsid w:val="001B3CFA"/>
    <w:rsid w:val="001C45E1"/>
    <w:rsid w:val="001D3B4E"/>
    <w:rsid w:val="001D4056"/>
    <w:rsid w:val="001D4650"/>
    <w:rsid w:val="001D5A79"/>
    <w:rsid w:val="00207837"/>
    <w:rsid w:val="00232FCD"/>
    <w:rsid w:val="0024287C"/>
    <w:rsid w:val="00254F15"/>
    <w:rsid w:val="002802B2"/>
    <w:rsid w:val="00283B2D"/>
    <w:rsid w:val="00293B1A"/>
    <w:rsid w:val="002C4809"/>
    <w:rsid w:val="002C76B4"/>
    <w:rsid w:val="002E07D8"/>
    <w:rsid w:val="003308D0"/>
    <w:rsid w:val="00347A7A"/>
    <w:rsid w:val="00347AE6"/>
    <w:rsid w:val="00352BF9"/>
    <w:rsid w:val="00363941"/>
    <w:rsid w:val="00376698"/>
    <w:rsid w:val="00387D62"/>
    <w:rsid w:val="003B1ED9"/>
    <w:rsid w:val="003C7FE9"/>
    <w:rsid w:val="003E12DC"/>
    <w:rsid w:val="003F79BB"/>
    <w:rsid w:val="0040130A"/>
    <w:rsid w:val="00404227"/>
    <w:rsid w:val="00436B39"/>
    <w:rsid w:val="00441BC8"/>
    <w:rsid w:val="00452F38"/>
    <w:rsid w:val="00474A65"/>
    <w:rsid w:val="00485CA8"/>
    <w:rsid w:val="00497673"/>
    <w:rsid w:val="004C0587"/>
    <w:rsid w:val="004C15A9"/>
    <w:rsid w:val="004C17E9"/>
    <w:rsid w:val="004D2477"/>
    <w:rsid w:val="004F25D5"/>
    <w:rsid w:val="004F4ECD"/>
    <w:rsid w:val="005071B9"/>
    <w:rsid w:val="00520BF2"/>
    <w:rsid w:val="005407E2"/>
    <w:rsid w:val="005566CF"/>
    <w:rsid w:val="00573332"/>
    <w:rsid w:val="005B0643"/>
    <w:rsid w:val="005B1865"/>
    <w:rsid w:val="005C1551"/>
    <w:rsid w:val="005C44BB"/>
    <w:rsid w:val="0060091A"/>
    <w:rsid w:val="00605B48"/>
    <w:rsid w:val="006158C9"/>
    <w:rsid w:val="00646E14"/>
    <w:rsid w:val="006561AC"/>
    <w:rsid w:val="00680CAF"/>
    <w:rsid w:val="00685269"/>
    <w:rsid w:val="006922D2"/>
    <w:rsid w:val="006C3713"/>
    <w:rsid w:val="006E7E73"/>
    <w:rsid w:val="00701DDE"/>
    <w:rsid w:val="007370BB"/>
    <w:rsid w:val="007627B0"/>
    <w:rsid w:val="00763AF9"/>
    <w:rsid w:val="007648B6"/>
    <w:rsid w:val="00764B1D"/>
    <w:rsid w:val="007659AB"/>
    <w:rsid w:val="00795010"/>
    <w:rsid w:val="007B1D9C"/>
    <w:rsid w:val="00802A4D"/>
    <w:rsid w:val="0081644C"/>
    <w:rsid w:val="00816747"/>
    <w:rsid w:val="00831778"/>
    <w:rsid w:val="0083681B"/>
    <w:rsid w:val="008558AA"/>
    <w:rsid w:val="00861AA7"/>
    <w:rsid w:val="00865F67"/>
    <w:rsid w:val="008721A0"/>
    <w:rsid w:val="008826CB"/>
    <w:rsid w:val="008B22F7"/>
    <w:rsid w:val="008C296D"/>
    <w:rsid w:val="008C3784"/>
    <w:rsid w:val="00921118"/>
    <w:rsid w:val="009375A5"/>
    <w:rsid w:val="0095395D"/>
    <w:rsid w:val="00970E4E"/>
    <w:rsid w:val="009847F1"/>
    <w:rsid w:val="00997DFA"/>
    <w:rsid w:val="009A0B69"/>
    <w:rsid w:val="009A7283"/>
    <w:rsid w:val="009C03E4"/>
    <w:rsid w:val="009C2A4D"/>
    <w:rsid w:val="009F1065"/>
    <w:rsid w:val="00A179EA"/>
    <w:rsid w:val="00A25B1F"/>
    <w:rsid w:val="00A272D4"/>
    <w:rsid w:val="00A55B78"/>
    <w:rsid w:val="00A71E99"/>
    <w:rsid w:val="00A8388C"/>
    <w:rsid w:val="00AB4F82"/>
    <w:rsid w:val="00AC0241"/>
    <w:rsid w:val="00AD018B"/>
    <w:rsid w:val="00B130A0"/>
    <w:rsid w:val="00B25800"/>
    <w:rsid w:val="00B31C18"/>
    <w:rsid w:val="00B55CF0"/>
    <w:rsid w:val="00B93C6D"/>
    <w:rsid w:val="00B954F2"/>
    <w:rsid w:val="00BC13CE"/>
    <w:rsid w:val="00BC2AC8"/>
    <w:rsid w:val="00BE002D"/>
    <w:rsid w:val="00BE550E"/>
    <w:rsid w:val="00BF3EB6"/>
    <w:rsid w:val="00C22D13"/>
    <w:rsid w:val="00C35674"/>
    <w:rsid w:val="00C57FC2"/>
    <w:rsid w:val="00C75F0F"/>
    <w:rsid w:val="00CC48DE"/>
    <w:rsid w:val="00CC4EAF"/>
    <w:rsid w:val="00CC5E08"/>
    <w:rsid w:val="00CE1810"/>
    <w:rsid w:val="00CE7D01"/>
    <w:rsid w:val="00CF41B9"/>
    <w:rsid w:val="00D00D15"/>
    <w:rsid w:val="00D20097"/>
    <w:rsid w:val="00D23250"/>
    <w:rsid w:val="00D266A3"/>
    <w:rsid w:val="00D53C6B"/>
    <w:rsid w:val="00D55E08"/>
    <w:rsid w:val="00D61E3C"/>
    <w:rsid w:val="00D726F3"/>
    <w:rsid w:val="00DB2008"/>
    <w:rsid w:val="00DB3F9C"/>
    <w:rsid w:val="00DD7193"/>
    <w:rsid w:val="00DF682E"/>
    <w:rsid w:val="00DF7DFE"/>
    <w:rsid w:val="00E27248"/>
    <w:rsid w:val="00E66035"/>
    <w:rsid w:val="00E67544"/>
    <w:rsid w:val="00E8488B"/>
    <w:rsid w:val="00EA2017"/>
    <w:rsid w:val="00EA4104"/>
    <w:rsid w:val="00EA71F2"/>
    <w:rsid w:val="00EC44B1"/>
    <w:rsid w:val="00F001B3"/>
    <w:rsid w:val="00F07FA6"/>
    <w:rsid w:val="00F142B0"/>
    <w:rsid w:val="00F34C2F"/>
    <w:rsid w:val="00F56189"/>
    <w:rsid w:val="00F72C7A"/>
    <w:rsid w:val="00F919DA"/>
    <w:rsid w:val="00F923FF"/>
    <w:rsid w:val="00FA40AF"/>
    <w:rsid w:val="00FB63A3"/>
    <w:rsid w:val="00FD2290"/>
    <w:rsid w:val="00FE5A51"/>
    <w:rsid w:val="00FE5EC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  <w:style w:type="character" w:styleId="ae">
    <w:name w:val="Strong"/>
    <w:uiPriority w:val="22"/>
    <w:qFormat/>
    <w:rsid w:val="00352BF9"/>
    <w:rPr>
      <w:b/>
      <w:bCs/>
    </w:rPr>
  </w:style>
  <w:style w:type="character" w:styleId="af">
    <w:name w:val="Hyperlink"/>
    <w:basedOn w:val="a0"/>
    <w:uiPriority w:val="99"/>
    <w:unhideWhenUsed/>
    <w:rsid w:val="00352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  <w:style w:type="character" w:styleId="ae">
    <w:name w:val="Strong"/>
    <w:uiPriority w:val="22"/>
    <w:qFormat/>
    <w:rsid w:val="00352BF9"/>
    <w:rPr>
      <w:b/>
      <w:bCs/>
    </w:rPr>
  </w:style>
  <w:style w:type="character" w:styleId="af">
    <w:name w:val="Hyperlink"/>
    <w:basedOn w:val="a0"/>
    <w:uiPriority w:val="99"/>
    <w:unhideWhenUsed/>
    <w:rsid w:val="00352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B4E-6F95-4D59-ACED-3A953613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Капрова Алина</cp:lastModifiedBy>
  <cp:revision>3</cp:revision>
  <cp:lastPrinted>2016-02-15T11:21:00Z</cp:lastPrinted>
  <dcterms:created xsi:type="dcterms:W3CDTF">2017-01-30T09:11:00Z</dcterms:created>
  <dcterms:modified xsi:type="dcterms:W3CDTF">2017-01-31T13:05:00Z</dcterms:modified>
</cp:coreProperties>
</file>