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93" w:rsidRDefault="00C50693" w:rsidP="00C5069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693" w:rsidRDefault="00C50693" w:rsidP="00C50693">
      <w:pPr>
        <w:spacing w:line="360" w:lineRule="auto"/>
        <w:jc w:val="center"/>
      </w:pPr>
    </w:p>
    <w:p w:rsidR="00C50693" w:rsidRDefault="00C50693" w:rsidP="00C50693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50693" w:rsidTr="00383634">
        <w:trPr>
          <w:cantSplit/>
          <w:trHeight w:val="253"/>
        </w:trPr>
        <w:tc>
          <w:tcPr>
            <w:tcW w:w="4195" w:type="dxa"/>
          </w:tcPr>
          <w:p w:rsidR="00C50693" w:rsidRDefault="00C50693" w:rsidP="00383634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50693" w:rsidRDefault="00C50693" w:rsidP="0038363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50693" w:rsidRDefault="00C50693" w:rsidP="00383634">
            <w:pPr>
              <w:pStyle w:val="a7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50693" w:rsidTr="00383634">
        <w:trPr>
          <w:cantSplit/>
          <w:trHeight w:val="2355"/>
        </w:trPr>
        <w:tc>
          <w:tcPr>
            <w:tcW w:w="4195" w:type="dxa"/>
          </w:tcPr>
          <w:p w:rsidR="00C50693" w:rsidRDefault="00C50693" w:rsidP="00383634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C50693" w:rsidRDefault="00C50693" w:rsidP="0038363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50693" w:rsidRDefault="00C50693" w:rsidP="00383634">
            <w:pPr>
              <w:spacing w:line="192" w:lineRule="auto"/>
            </w:pPr>
          </w:p>
          <w:p w:rsidR="00C50693" w:rsidRDefault="00C50693" w:rsidP="0038363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50693" w:rsidRDefault="00C50693" w:rsidP="00383634"/>
          <w:p w:rsidR="00C50693" w:rsidRDefault="00C50693" w:rsidP="00383634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08</w:t>
            </w:r>
            <w:r w:rsidRPr="004D0019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Pr="004D0019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   № 549</w:t>
            </w:r>
          </w:p>
          <w:p w:rsidR="00C50693" w:rsidRDefault="00C50693" w:rsidP="0038363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C50693" w:rsidRDefault="00C50693" w:rsidP="0038363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50693" w:rsidRDefault="00C50693" w:rsidP="00383634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50693" w:rsidRDefault="00C50693" w:rsidP="0038363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50693" w:rsidRDefault="00C50693" w:rsidP="00383634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C50693" w:rsidRDefault="00C50693" w:rsidP="00383634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50693" w:rsidRDefault="00C50693" w:rsidP="00383634"/>
          <w:p w:rsidR="00C50693" w:rsidRDefault="00C50693" w:rsidP="0038363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08</w:t>
            </w:r>
            <w:r w:rsidRPr="004D0019">
              <w:rPr>
                <w:noProof/>
                <w:color w:val="000000"/>
                <w:sz w:val="26"/>
              </w:rPr>
              <w:t>.</w:t>
            </w:r>
            <w:r>
              <w:rPr>
                <w:noProof/>
                <w:color w:val="000000"/>
                <w:sz w:val="26"/>
              </w:rPr>
              <w:t>10</w:t>
            </w:r>
            <w:r w:rsidRPr="004D0019">
              <w:rPr>
                <w:noProof/>
                <w:color w:val="000000"/>
                <w:sz w:val="26"/>
              </w:rPr>
              <w:t>.201</w:t>
            </w:r>
            <w:r>
              <w:rPr>
                <w:noProof/>
                <w:color w:val="000000"/>
                <w:sz w:val="26"/>
              </w:rPr>
              <w:t xml:space="preserve">4   </w:t>
            </w:r>
            <w:r>
              <w:rPr>
                <w:noProof/>
                <w:sz w:val="26"/>
              </w:rPr>
              <w:t>№ 549</w:t>
            </w:r>
          </w:p>
          <w:p w:rsidR="00C50693" w:rsidRDefault="00C50693" w:rsidP="0038363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C50693" w:rsidRDefault="00C50693" w:rsidP="00C50693">
      <w:pPr>
        <w:pStyle w:val="a3"/>
        <w:spacing w:before="0" w:beforeAutospacing="0" w:after="0" w:afterAutospacing="0"/>
      </w:pPr>
      <w:r>
        <w:t>О прогноз</w:t>
      </w:r>
      <w:r w:rsidRPr="00AC3F23">
        <w:t xml:space="preserve">е </w:t>
      </w:r>
      <w:r w:rsidRPr="0074350E">
        <w:t>социально</w:t>
      </w:r>
      <w:r>
        <w:t>-</w:t>
      </w:r>
      <w:r w:rsidRPr="0074350E">
        <w:t xml:space="preserve">экономического развития </w:t>
      </w:r>
    </w:p>
    <w:p w:rsidR="00C50693" w:rsidRDefault="00C50693" w:rsidP="00C50693">
      <w:pPr>
        <w:pStyle w:val="a3"/>
        <w:spacing w:before="0" w:beforeAutospacing="0" w:after="0" w:afterAutospacing="0"/>
      </w:pPr>
      <w:r w:rsidRPr="0074350E">
        <w:t>Шумерлинского района</w:t>
      </w:r>
      <w:r>
        <w:t xml:space="preserve"> </w:t>
      </w:r>
      <w:r w:rsidRPr="0074350E">
        <w:t xml:space="preserve"> на 201</w:t>
      </w:r>
      <w:r>
        <w:t>5</w:t>
      </w:r>
      <w:r w:rsidRPr="0074350E">
        <w:t xml:space="preserve"> год и </w:t>
      </w:r>
    </w:p>
    <w:p w:rsidR="00C50693" w:rsidRPr="0074350E" w:rsidRDefault="00C50693" w:rsidP="00C50693">
      <w:pPr>
        <w:pStyle w:val="a3"/>
        <w:spacing w:before="0" w:beforeAutospacing="0" w:after="0" w:afterAutospacing="0"/>
      </w:pPr>
      <w:r w:rsidRPr="0074350E">
        <w:t xml:space="preserve">на </w:t>
      </w:r>
      <w:r>
        <w:t xml:space="preserve">плановый </w:t>
      </w:r>
      <w:r w:rsidRPr="0074350E">
        <w:t xml:space="preserve">период </w:t>
      </w:r>
      <w:r>
        <w:t xml:space="preserve"> 2016  и </w:t>
      </w:r>
      <w:r w:rsidRPr="0074350E">
        <w:t>201</w:t>
      </w:r>
      <w:r>
        <w:t>7</w:t>
      </w:r>
      <w:r w:rsidRPr="0074350E">
        <w:t xml:space="preserve"> год</w:t>
      </w:r>
      <w:r>
        <w:t>ов</w:t>
      </w:r>
    </w:p>
    <w:p w:rsidR="00C50693" w:rsidRDefault="00C50693" w:rsidP="00C50693"/>
    <w:p w:rsidR="00C50693" w:rsidRDefault="00C50693" w:rsidP="00C50693">
      <w:pPr>
        <w:pStyle w:val="a7"/>
      </w:pPr>
    </w:p>
    <w:p w:rsidR="00C50693" w:rsidRDefault="00C50693" w:rsidP="00C50693">
      <w:pPr>
        <w:pStyle w:val="a7"/>
        <w:spacing w:line="360" w:lineRule="auto"/>
      </w:pPr>
    </w:p>
    <w:p w:rsidR="00C50693" w:rsidRPr="000C453C" w:rsidRDefault="00C50693" w:rsidP="00C50693">
      <w:pPr>
        <w:pStyle w:val="a7"/>
        <w:ind w:firstLine="561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C453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п.1 ст.169 и п.2 ст.172 Бюджетного Кодекса Российской Федерации, пп.1 п.1 ст.15 </w:t>
      </w:r>
      <w:r w:rsidRPr="000C453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Pr="000C453C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и в целях формирования бюджета Шумерлинского района</w:t>
      </w:r>
    </w:p>
    <w:p w:rsidR="00C50693" w:rsidRDefault="00C50693" w:rsidP="00C50693">
      <w:pPr>
        <w:ind w:left="-374" w:firstLine="935"/>
        <w:jc w:val="both"/>
        <w:rPr>
          <w:sz w:val="26"/>
        </w:rPr>
      </w:pPr>
    </w:p>
    <w:p w:rsidR="00C50693" w:rsidRDefault="00C50693" w:rsidP="00C50693">
      <w:pPr>
        <w:widowControl w:val="0"/>
        <w:ind w:firstLine="567"/>
        <w:jc w:val="both"/>
      </w:pPr>
      <w:r>
        <w:t xml:space="preserve">администрация Шумерлинского района </w:t>
      </w:r>
      <w:proofErr w:type="gramStart"/>
      <w:r w:rsidRPr="002F0699">
        <w:t>п</w:t>
      </w:r>
      <w:proofErr w:type="gramEnd"/>
      <w:r w:rsidRPr="002F0699">
        <w:t xml:space="preserve"> о с т а н о в л я е т:</w:t>
      </w:r>
    </w:p>
    <w:p w:rsidR="00C50693" w:rsidRDefault="00C50693" w:rsidP="00C50693">
      <w:pPr>
        <w:rPr>
          <w:sz w:val="26"/>
        </w:rPr>
      </w:pPr>
      <w:r>
        <w:rPr>
          <w:sz w:val="26"/>
        </w:rPr>
        <w:tab/>
      </w:r>
    </w:p>
    <w:p w:rsidR="00C50693" w:rsidRDefault="00C50693" w:rsidP="00C50693">
      <w:pPr>
        <w:pStyle w:val="a3"/>
        <w:numPr>
          <w:ilvl w:val="0"/>
          <w:numId w:val="1"/>
        </w:numPr>
        <w:tabs>
          <w:tab w:val="num" w:pos="0"/>
          <w:tab w:val="left" w:pos="720"/>
        </w:tabs>
        <w:spacing w:before="0" w:beforeAutospacing="0" w:after="0" w:afterAutospacing="0"/>
        <w:ind w:left="0" w:firstLine="540"/>
        <w:jc w:val="both"/>
      </w:pPr>
      <w:r>
        <w:t xml:space="preserve"> Одобрить прилагаемый прогноз социально-экономического развития  Шумерлинского района  </w:t>
      </w:r>
      <w:r w:rsidRPr="0074350E">
        <w:t>на 201</w:t>
      </w:r>
      <w:r>
        <w:t>5</w:t>
      </w:r>
      <w:r w:rsidRPr="0074350E">
        <w:t xml:space="preserve"> год и на </w:t>
      </w:r>
      <w:r>
        <w:t xml:space="preserve">плановый </w:t>
      </w:r>
      <w:r w:rsidRPr="0074350E">
        <w:t xml:space="preserve">период </w:t>
      </w:r>
      <w:r>
        <w:t xml:space="preserve">2016 и </w:t>
      </w:r>
      <w:r w:rsidRPr="0074350E">
        <w:t>201</w:t>
      </w:r>
      <w:r>
        <w:t>7</w:t>
      </w:r>
      <w:r w:rsidRPr="0074350E">
        <w:t xml:space="preserve"> год</w:t>
      </w:r>
      <w:r>
        <w:t>ов.</w:t>
      </w:r>
    </w:p>
    <w:p w:rsidR="00C50693" w:rsidRDefault="00C50693" w:rsidP="00C50693">
      <w:pPr>
        <w:pStyle w:val="a3"/>
        <w:spacing w:before="0" w:beforeAutospacing="0" w:after="0" w:afterAutospacing="0"/>
        <w:ind w:right="-1" w:firstLine="567"/>
        <w:jc w:val="both"/>
      </w:pPr>
      <w:r>
        <w:t xml:space="preserve">2. </w:t>
      </w:r>
      <w:proofErr w:type="gramStart"/>
      <w:r>
        <w:t xml:space="preserve">Признать утратившими силу постановления администрации Шумерлинского района </w:t>
      </w:r>
      <w:r w:rsidRPr="001A37B8">
        <w:t>от 28.06.2013</w:t>
      </w:r>
      <w:r>
        <w:t xml:space="preserve"> № 371 «О прогнозе социально-экономического развития Шумерлинского района на 2014 год и на плановый период 2015 и 2016 годов» и от 01.11.2013 № 656 «</w:t>
      </w:r>
      <w:r w:rsidRPr="001B4B9D">
        <w:t>О внесении изменений  в постановление администрации Шумерлинского района от 28.06.2013 № 371 «О прогнозе социально-экономического развития  Шумерлинского района  на 2014 год и на плановый период 2015 и 2016 годов»</w:t>
      </w:r>
      <w:r>
        <w:t>.</w:t>
      </w:r>
      <w:proofErr w:type="gramEnd"/>
    </w:p>
    <w:p w:rsidR="00C50693" w:rsidRDefault="00C50693" w:rsidP="00C50693">
      <w:pPr>
        <w:tabs>
          <w:tab w:val="num" w:pos="0"/>
          <w:tab w:val="left" w:pos="720"/>
        </w:tabs>
        <w:ind w:right="-1" w:firstLine="540"/>
        <w:jc w:val="both"/>
      </w:pPr>
      <w:r>
        <w:t>3. Опубликовать настоящее постановление в информационном издании «Вестник Шумерлинского района» и разместить на официальном сайте Шумерлинского района в сети Интернет.</w:t>
      </w:r>
    </w:p>
    <w:p w:rsidR="00C50693" w:rsidRDefault="00C50693" w:rsidP="00C50693">
      <w:pPr>
        <w:ind w:firstLine="705"/>
      </w:pPr>
    </w:p>
    <w:p w:rsidR="00C50693" w:rsidRDefault="00C50693" w:rsidP="00C50693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  <w:r>
        <w:t xml:space="preserve"> </w:t>
      </w:r>
    </w:p>
    <w:p w:rsidR="00C50693" w:rsidRDefault="00C50693" w:rsidP="00C50693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</w:p>
    <w:p w:rsidR="00C50693" w:rsidRDefault="00C50693" w:rsidP="00C50693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C50693" w:rsidRPr="002B7F92" w:rsidRDefault="00C50693" w:rsidP="00C50693">
      <w:pPr>
        <w:widowControl w:val="0"/>
        <w:jc w:val="both"/>
      </w:pPr>
      <w:r>
        <w:t>Г</w:t>
      </w:r>
      <w:r w:rsidRPr="002B7F92">
        <w:t>лав</w:t>
      </w:r>
      <w:r>
        <w:t>а</w:t>
      </w:r>
      <w:r w:rsidRPr="002B7F92">
        <w:t xml:space="preserve"> администрации </w:t>
      </w:r>
    </w:p>
    <w:p w:rsidR="00C50693" w:rsidRPr="00B845F4" w:rsidRDefault="00C50693" w:rsidP="00C50693">
      <w:pPr>
        <w:widowControl w:val="0"/>
        <w:jc w:val="both"/>
        <w:rPr>
          <w:sz w:val="27"/>
          <w:szCs w:val="27"/>
        </w:rPr>
      </w:pPr>
      <w:r w:rsidRPr="002B7F92">
        <w:t>Шумерлинского района</w:t>
      </w:r>
      <w:r w:rsidRPr="002B7F92">
        <w:tab/>
      </w:r>
      <w:r w:rsidRPr="002B7F92">
        <w:tab/>
      </w:r>
      <w:r w:rsidRPr="002B7F92">
        <w:tab/>
      </w:r>
      <w:r w:rsidRPr="002B7F92">
        <w:tab/>
        <w:t xml:space="preserve">           </w:t>
      </w:r>
      <w:r w:rsidRPr="002B7F92">
        <w:tab/>
      </w:r>
      <w:r w:rsidRPr="002B7F92">
        <w:tab/>
      </w:r>
      <w:r w:rsidRPr="002B7F92">
        <w:tab/>
      </w:r>
      <w:r>
        <w:t xml:space="preserve">                 Л.Г. Рафинов</w:t>
      </w:r>
    </w:p>
    <w:p w:rsidR="003A3248" w:rsidRDefault="003A3248"/>
    <w:p w:rsidR="00C50693" w:rsidRDefault="00C50693"/>
    <w:p w:rsidR="00C50693" w:rsidRDefault="00C50693"/>
    <w:p w:rsidR="00C50693" w:rsidRDefault="00C50693"/>
    <w:p w:rsidR="00C50693" w:rsidRDefault="00C50693"/>
    <w:p w:rsidR="00C50693" w:rsidRDefault="00C50693"/>
    <w:p w:rsidR="00C50693" w:rsidRDefault="00C50693"/>
    <w:p w:rsidR="00C50693" w:rsidRDefault="00C50693"/>
    <w:p w:rsidR="00C50693" w:rsidRDefault="00C50693"/>
    <w:p w:rsidR="00C50693" w:rsidRDefault="00C50693"/>
    <w:p w:rsidR="00C50693" w:rsidRDefault="00C50693">
      <w:pPr>
        <w:sectPr w:rsidR="00C50693" w:rsidSect="007547B5">
          <w:footerReference w:type="default" r:id="rId6"/>
          <w:pgSz w:w="11906" w:h="16838"/>
          <w:pgMar w:top="899" w:right="850" w:bottom="360" w:left="1418" w:header="708" w:footer="708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3146"/>
        <w:gridCol w:w="2256"/>
        <w:gridCol w:w="850"/>
        <w:gridCol w:w="993"/>
        <w:gridCol w:w="850"/>
        <w:gridCol w:w="992"/>
        <w:gridCol w:w="1440"/>
        <w:gridCol w:w="1269"/>
        <w:gridCol w:w="1440"/>
        <w:gridCol w:w="754"/>
        <w:gridCol w:w="1901"/>
      </w:tblGrid>
      <w:tr w:rsidR="00C50693" w:rsidTr="00C50693">
        <w:trPr>
          <w:trHeight w:val="49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/>
                <w:b/>
                <w:bCs/>
                <w:sz w:val="32"/>
                <w:szCs w:val="32"/>
              </w:rPr>
              <w:lastRenderedPageBreak/>
              <w:t xml:space="preserve">Основные показатели, представляемые для разработки прогноза социально-экономического развития  Российской Федерации </w:t>
            </w:r>
          </w:p>
        </w:tc>
      </w:tr>
      <w:tr w:rsidR="00C50693" w:rsidTr="00C50693">
        <w:trPr>
          <w:trHeight w:val="51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/>
                <w:b/>
                <w:bCs/>
                <w:sz w:val="32"/>
                <w:szCs w:val="32"/>
              </w:rPr>
              <w:t>на 2015 год и на период до 2017 года (для субъектов Российской Федерации)</w:t>
            </w:r>
          </w:p>
        </w:tc>
      </w:tr>
      <w:tr w:rsidR="00C50693" w:rsidTr="00C50693">
        <w:trPr>
          <w:trHeight w:val="40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rFonts w:ascii="Arial Cyr" w:hAnsi="Arial Cyr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 Cyr" w:hAnsi="Arial Cyr"/>
                <w:b/>
                <w:bCs/>
                <w:color w:val="FF0000"/>
                <w:sz w:val="32"/>
                <w:szCs w:val="32"/>
              </w:rPr>
              <w:t>ШУМЕРЛИНСКИЙ РАЙОН ЧУВАШСКОЙ РЕСПУБЛИКИ</w:t>
            </w:r>
          </w:p>
        </w:tc>
      </w:tr>
      <w:tr w:rsidR="00C50693" w:rsidTr="00C50693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50693" w:rsidTr="00C50693">
        <w:trPr>
          <w:trHeight w:val="375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прогноз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57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Население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Численность населения (среднегодовая)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население (</w:t>
            </w:r>
            <w:proofErr w:type="gramStart"/>
            <w:r>
              <w:rPr>
                <w:color w:val="000000"/>
                <w:sz w:val="28"/>
                <w:szCs w:val="28"/>
              </w:rPr>
              <w:t>среднегодовая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9,865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9,615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Городское население (</w:t>
            </w:r>
            <w:proofErr w:type="gramStart"/>
            <w:r>
              <w:rPr>
                <w:color w:val="000000"/>
                <w:sz w:val="28"/>
                <w:szCs w:val="28"/>
              </w:rPr>
              <w:t>среднегодовая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население (</w:t>
            </w:r>
            <w:proofErr w:type="gramStart"/>
            <w:r>
              <w:rPr>
                <w:color w:val="000000"/>
                <w:sz w:val="28"/>
                <w:szCs w:val="28"/>
              </w:rPr>
              <w:t>среднегодовая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9,865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9,615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70,10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число родившихся на 1000 человек </w:t>
            </w:r>
            <w:r>
              <w:rPr>
                <w:color w:val="000000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13,21</w:t>
            </w:r>
          </w:p>
        </w:tc>
      </w:tr>
      <w:tr w:rsidR="00C50693" w:rsidTr="00C50693">
        <w:trPr>
          <w:trHeight w:val="6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Общий коэффициент смертности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22,67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Коэффициент естественного прироста населения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-9,52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-9,72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-9,46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color w:val="000000"/>
                <w:sz w:val="28"/>
                <w:szCs w:val="28"/>
              </w:rPr>
              <w:t>прибывших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территорию региона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0,570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color w:val="000000"/>
                <w:sz w:val="28"/>
                <w:szCs w:val="28"/>
              </w:rPr>
              <w:t>выбывших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территории региона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0,650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Коэффициент миграционного прироста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10 000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-110,94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-108,08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-97,29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-94,09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-83,20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Производство товаров и услуг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2.1. Выпуск товаров и услуг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товаров и услуг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2.2. Валовой региональный продукт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 физического объема валового регионального продукта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объема валового регионального продукта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2.3. Промышленное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81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Темп роста отгрузки - РАЗДЕЛ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>
              <w:rPr>
                <w:color w:val="000000"/>
                <w:sz w:val="28"/>
                <w:szCs w:val="28"/>
              </w:rPr>
              <w:t>Добыча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% к предыдущему году в действующих </w:t>
            </w:r>
            <w:r>
              <w:rPr>
                <w:color w:val="000000"/>
                <w:sz w:val="28"/>
                <w:szCs w:val="28"/>
              </w:rPr>
              <w:lastRenderedPageBreak/>
              <w:t>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81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Индекс-дефлятор отрузки - РАЗДЕЛ C: Добыча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РАЗДЕЛ C: Добыча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CA: Добыча топливно-</w:t>
            </w:r>
            <w:r>
              <w:rPr>
                <w:color w:val="000000"/>
                <w:sz w:val="28"/>
                <w:szCs w:val="28"/>
              </w:rPr>
              <w:lastRenderedPageBreak/>
              <w:t>энергетических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>
              <w:rPr>
                <w:color w:val="000000"/>
                <w:sz w:val="28"/>
                <w:szCs w:val="28"/>
              </w:rPr>
              <w:t>кроме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топливно-энергетических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Темп роста отгрузки - Подраздел CB: Добыча полезных ископаемых, </w:t>
            </w:r>
            <w:proofErr w:type="gramStart"/>
            <w:r>
              <w:rPr>
                <w:color w:val="000000"/>
                <w:sz w:val="28"/>
                <w:szCs w:val="28"/>
              </w:rPr>
              <w:t>кроме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топливно-энергетических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Индекс-дефлятор отрузки - Подраздел CB: Добыча полезных ископаемых, </w:t>
            </w:r>
            <w:proofErr w:type="gramStart"/>
            <w:r>
              <w:rPr>
                <w:color w:val="000000"/>
                <w:sz w:val="28"/>
                <w:szCs w:val="28"/>
              </w:rPr>
              <w:t>кроме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топливно-энергетических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Индекс производства - Подраздел CB: Добыча полезных ископаемых, </w:t>
            </w:r>
            <w:proofErr w:type="gramStart"/>
            <w:r>
              <w:rPr>
                <w:color w:val="000000"/>
                <w:sz w:val="28"/>
                <w:szCs w:val="28"/>
              </w:rPr>
              <w:t>кроме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топливно-энергетических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1 213,00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 роста отгрузки - РАЗДЕЛ D: Обрабатывающие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478,14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479,45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РАЗДЕЛ D: Обрабатывающие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106,30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РАЗДЕЛ D: Обрабатывающие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447,70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451,03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Темп роста отгрузки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DA: Производство пищевых продуктов, включая напитки, и табака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отгруженных товаров собственного производства, выполненных работ и </w:t>
            </w:r>
            <w:r>
              <w:rPr>
                <w:color w:val="000000"/>
                <w:sz w:val="28"/>
                <w:szCs w:val="28"/>
              </w:rPr>
              <w:lastRenderedPageBreak/>
              <w:t>услуг собственными силами - Подраздел DB: Текстильное и швейное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Темп роста отгрузки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>одраздел DB: Текстильное и швейное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DB: Текстильное и швейное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Подраздел DB: Текстильное и швейное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Темп роста отгрузки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одраздел DC: Производство кожи, </w:t>
            </w:r>
            <w:r>
              <w:rPr>
                <w:color w:val="000000"/>
                <w:sz w:val="28"/>
                <w:szCs w:val="28"/>
              </w:rPr>
              <w:lastRenderedPageBreak/>
              <w:t>изделий из кожи и производство обуви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% к предыдущему году в </w:t>
            </w:r>
            <w:r>
              <w:rPr>
                <w:color w:val="000000"/>
                <w:sz w:val="28"/>
                <w:szCs w:val="28"/>
              </w:rPr>
              <w:lastRenderedPageBreak/>
              <w:t>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Индекс-дефлятор отрузки - Подраздел DC: Производство кожи, изделий из кожи и производство обуви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Темп отгрузки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>одраздел DD: Обработка древесины и производство изделий из дерева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Индекс-дефлятор отрузки - Подраздел DD: Обработка </w:t>
            </w:r>
            <w:r>
              <w:rPr>
                <w:color w:val="000000"/>
                <w:sz w:val="28"/>
                <w:szCs w:val="28"/>
              </w:rPr>
              <w:lastRenderedPageBreak/>
              <w:t>древесины и производство изделий из дерева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Индекс-дефлятор отрузки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Индекс-дефлятор отрузки - Подраздел DF: Производство кокса, нефтепродуктов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Индекс производства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одраздел DF: Производство кокса, нефтепродуктов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 роста отгрузки - Подраздел DG: Химическое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DG: Химическое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Индекс производства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одраздел DG: Химическое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% к предыдущему году в </w:t>
            </w:r>
            <w:r>
              <w:rPr>
                <w:color w:val="000000"/>
                <w:sz w:val="28"/>
                <w:szCs w:val="28"/>
              </w:rPr>
              <w:lastRenderedPageBreak/>
              <w:t>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DH: Производство резиновых и пластмассовых изделий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Индекс производства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>одраздел DH: Производство резиновых и пластмассовых изделий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DI: Производство прочих неметаллических минеральных продуктов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Индекс производства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>одраздел DI: Производство прочих неметаллических минеральных продуктов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Подраздел DK: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Производство машин и оборудования (без производства оружия и боеприпасов)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Подраздел DK: Производство машин и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Подраздел DL: Производство </w:t>
            </w:r>
            <w:r>
              <w:rPr>
                <w:color w:val="000000"/>
                <w:sz w:val="28"/>
                <w:szCs w:val="28"/>
              </w:rPr>
              <w:lastRenderedPageBreak/>
              <w:t>электрооборудования, электронного и оптического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отгруженных товаров собственного производства,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DM: Производство транспортных средств и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Темп роста отгрузки - Подраздел DN: Прочие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отрузки - Подраздел DN: Прочие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Подраздел DN: Прочие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Потребление электроэнергии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Вт.ч.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группам потребителей: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Базовые потребители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кВт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кВт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потребители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кВт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Средние тарифы на электроэнергию, отпущенную </w:t>
            </w:r>
            <w:r>
              <w:rPr>
                <w:color w:val="000000"/>
                <w:sz w:val="28"/>
                <w:szCs w:val="28"/>
              </w:rPr>
              <w:lastRenderedPageBreak/>
              <w:t>различным категориям потребителей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руб./тыс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Вт.ч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в том числе по группам потребителей: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Базовые потребители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руб./тыс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Вт.ч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руб./тыс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Вт.ч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потребители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руб./тыс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Вт.ч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Индекс тарифов по категориям потребителей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электроэнергия, отпущенная различным категориям потребителей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период с начала года к соотв.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период с начала года к соотв.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электроэнергия, отпущенная населению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период с начала года к соотв.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2.4. Сельское хозяйство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сельского </w:t>
            </w:r>
            <w:r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</w:t>
            </w: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661,20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95,01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растениеводства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185,70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производства продукции растениеводства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95,34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Индекс-дефлятор продукции растениеводства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животноводства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производства продукции животноводства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к предыдущему году в </w:t>
            </w:r>
            <w:r>
              <w:rPr>
                <w:sz w:val="28"/>
                <w:szCs w:val="28"/>
              </w:rPr>
              <w:lastRenderedPageBreak/>
              <w:t>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Индекс-дефлятор продукции животноводства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105,40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2.5. Транспорт и связь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2.5.1. Транспорт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231,70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 том числе федерального значения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Плотность железнодорожных путей общего пользования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конец года; км путей на 10000 кв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м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конец года; км путей на 10000 кв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м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2 212,21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2 212,21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автомобильных дорог с твердым покрытием в </w:t>
            </w:r>
            <w:r>
              <w:rPr>
                <w:color w:val="000000"/>
                <w:sz w:val="28"/>
                <w:szCs w:val="28"/>
              </w:rPr>
              <w:lastRenderedPageBreak/>
              <w:t>общей протяженности автомобильных дорог общего пользования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 конец года;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2.5.2. Связь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услуг связи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млрд.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0,034744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0,0255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персональных компьютеров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1 190,00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1 195,00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в том числе </w:t>
            </w:r>
            <w:proofErr w:type="gramStart"/>
            <w:r>
              <w:rPr>
                <w:color w:val="000000"/>
                <w:sz w:val="28"/>
                <w:szCs w:val="28"/>
              </w:rPr>
              <w:t>подключенных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сети Интернет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710,00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зерна (в весе после доработки)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Валовой сбор сахарной свеклы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семян масличных культур –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подсолнечника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Валовой сбор </w:t>
            </w:r>
            <w:r>
              <w:rPr>
                <w:sz w:val="28"/>
                <w:szCs w:val="28"/>
              </w:rPr>
              <w:lastRenderedPageBreak/>
              <w:t>картофеля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Валовой сбор овощей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Древесина необработанная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куб.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Уголь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Нефть добытая, включая газовый конденсат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 природный и попутный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млрд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уб.м.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и субпродукты пищевые убойных животных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и субпродукты пищевые домашней птицы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 сливочное и пасты масляные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Сахар белый свекловичный в твердом состоянии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 подсолнечное нерафинированное и его фракции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Рыба и продукты рыбные переработанные и консервированные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Спирт этиловый ректификованный из пищевого сырья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Водка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Коньяк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Вина столовые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Вина плодовые столовые, кроме сидра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Пиво, кроме отходов пивоварения (включая напитки, изготовляемые на основе пива (пиваные напитки))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дкл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Ткани хлопчатобумажные готовые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Трикотажные изделия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Обувь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куб.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Бензин автомобильный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Топливо дизельное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Масла нефтяные смазочные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Мазут топочный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2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Топливо печное бытовое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вырабатываемое из дизельных фракций прямой перегонки </w:t>
            </w:r>
            <w:proofErr w:type="gramStart"/>
            <w:r>
              <w:rPr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color w:val="000000"/>
                <w:sz w:val="28"/>
                <w:szCs w:val="28"/>
              </w:rPr>
              <w:t>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Удобрения минеральные или химические в пересчете на 100% питательных веществ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Полимеры этилена в первичных формах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условных кирпичей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Прокат готовый черных металлов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Тракторы для сельского и лесного хозяйства прочие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Холодильники и морозильники бытовые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ювилирные и их части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Автомобили грузовые (включая шасси)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Автомобили легковые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млрд. кВт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color w:val="000000"/>
                <w:sz w:val="28"/>
                <w:szCs w:val="28"/>
              </w:rPr>
              <w:t>произведенная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атомными электростанциями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млрд. кВт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тепловыми электростанциями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млрд. кВт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гидроэлектростанциями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млрд. кВт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2.7. Строительство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92,92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Индекс-дефлятор по объему работ, выполненных по виду деятельности "строительство" (Раздел </w:t>
            </w:r>
            <w:r>
              <w:rPr>
                <w:color w:val="000000"/>
                <w:sz w:val="28"/>
                <w:szCs w:val="28"/>
              </w:rPr>
              <w:lastRenderedPageBreak/>
              <w:t>F)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108,40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Ввод в действие жилых домов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кв. м. в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жилых домов, построенных населением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97,30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Торговля и услуги населению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9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потребительских цен за период с начала года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86,36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100,33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оборота розничной торговли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4,55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Оборот общественного питания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102,82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и муниципальная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Частная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ценах соответствующих лет; % от общего объема оборота </w:t>
            </w:r>
            <w:r>
              <w:rPr>
                <w:color w:val="000000"/>
                <w:sz w:val="28"/>
                <w:szCs w:val="28"/>
              </w:rPr>
              <w:lastRenderedPageBreak/>
              <w:t>розничной торговли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формы собственности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оборота розничной торговли по формам торговли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Продажа на розничных рынках и ярмарках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Оборот розничной торговли по торговым сетям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86,36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Оборот розничной торговли по торговым сетям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оборота розничной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 оборота розничной торговли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Пищевые продукты, включая напитки, и табачные изделия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56,2065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58,3275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59,85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60,4485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24,0885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24,9975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25,9065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60,59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 платных услуг населению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97,13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 объема платных услуг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Внешнеэкономическая деятельность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Экспорт товаров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Импорт товаров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Страны дальнего зарубежья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Экспорт товаров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группам товаров: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Продукция топливно-энергетического комплекса (группа 27)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Продукция химической промышленности, каучук (группы 28-40)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Древесина и целлюлозно-бумажные изделия (группы 44-49)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Металлы и изделия из них (группы 72-83)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Машины, оборудование и транспортные средства (группы 84-90)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Импорт товаров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группам товаров: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Продукция химической промышленности, каучук (группы 28-40)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текстильное и швейное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Металлы и изделия из них (группы 72-83)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Машины, оборудование и транспортные средства (группы 84-90)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Государства-участники СНГ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Экспорт товаров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группам товаров: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Продукция топливно-энергетического комплекса (группа 27)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Продукция химической промышленности, каучук (группы 28-40)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Древесина и целлюлозно-бумажные изделия (группы 44-49)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Металлы и изделия из них (группы 72-83)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Машины, оборудование и транспортные средства (группы 84-90)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Импорт товаров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группам товаров: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Продовольственные товары и сельскохозяйственное сырье (группы 1-24)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Продукция химической промышленности, каучук (группы 28-40)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текстильное и швейное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Металлы и изделия из них (группы 72-83)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Машины, оборудование и транспортные средства (группы 84-90)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Малое и среднее предпринимательство, включая микропредприятия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81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отдельным видам экономической деятельности: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обрабатывающие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операции с </w:t>
            </w:r>
            <w:proofErr w:type="gramStart"/>
            <w:r>
              <w:rPr>
                <w:color w:val="000000"/>
                <w:sz w:val="28"/>
                <w:szCs w:val="28"/>
              </w:rPr>
              <w:t>недвижимом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имуществом, аренда и предоставление услуг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научные исследования и разработки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0,435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том числе по отдельным видам экономической деятельности: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0,029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0,047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научные исследования и разработки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Оборот малых и средних предприятий, включая микропредприятия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0,224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видам экономической деятельности: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0,014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0,025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0,097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операции с </w:t>
            </w:r>
            <w:proofErr w:type="gramStart"/>
            <w:r>
              <w:rPr>
                <w:color w:val="000000"/>
                <w:sz w:val="28"/>
                <w:szCs w:val="28"/>
              </w:rPr>
              <w:t>недвижимом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имуществом, аренда и предоставление услуг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научные исследования и разработки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 Инвестиции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1 015,20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1 567,90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1 599,90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149,38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150,09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Индекс-дефлятор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1 244,55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1 269,95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% к предыдущему году в сопоставимых </w:t>
            </w:r>
            <w:r>
              <w:rPr>
                <w:color w:val="000000"/>
                <w:sz w:val="28"/>
                <w:szCs w:val="28"/>
              </w:rPr>
              <w:lastRenderedPageBreak/>
              <w:t>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170,86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171,68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Индекс-дефлятор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</w:tr>
      <w:tr w:rsidR="00C50693" w:rsidTr="00C50693">
        <w:trPr>
          <w:trHeight w:val="18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>: сельское хозяйство, охота и лесное хозяйство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1017,93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1038,70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203,46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Раздел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z w:val="28"/>
                <w:szCs w:val="28"/>
              </w:rPr>
              <w:t>: рыболовство, рыбоводство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color w:val="000000"/>
                <w:sz w:val="28"/>
                <w:szCs w:val="28"/>
              </w:rPr>
              <w:t>: добыча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Подраздел CB: Добыча полезных ископаемых,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кроме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топливно-энергетических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D: обрабатывающие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DB: Текстильное и швейное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DF: Производство кокса, нефтепродуктов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DG: Химическое производство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DH: Производство резиновых и пластмассовых изделий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% к предыдущему году в сопоставимых </w:t>
            </w:r>
            <w:r>
              <w:rPr>
                <w:color w:val="000000"/>
                <w:sz w:val="28"/>
                <w:szCs w:val="28"/>
              </w:rPr>
              <w:lastRenderedPageBreak/>
              <w:t>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Подраздел DI: Производство прочих неметаллических минеральных продуктов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DK: Производство машин и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DM: Производство транспортных средств и оборудования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 DN: Прочие производства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E: производство и распределение </w:t>
            </w:r>
            <w:r>
              <w:rPr>
                <w:color w:val="000000"/>
                <w:sz w:val="28"/>
                <w:szCs w:val="28"/>
              </w:rPr>
              <w:lastRenderedPageBreak/>
              <w:t>электроэнергии, газа и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без субъектов малого </w:t>
            </w:r>
            <w:r>
              <w:rPr>
                <w:color w:val="000000"/>
                <w:sz w:val="28"/>
                <w:szCs w:val="28"/>
              </w:rPr>
              <w:lastRenderedPageBreak/>
              <w:t>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F: строительство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104,58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Раздел H: гостиницы и рестораны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I: транспорт и связь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59,80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101,16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J: финансовая деятельность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K: операции с недвижимым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имуществом, аренда и предоставление услуг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без субъектов малого </w:t>
            </w:r>
            <w:r>
              <w:rPr>
                <w:color w:val="000000"/>
                <w:sz w:val="28"/>
                <w:szCs w:val="28"/>
              </w:rPr>
              <w:lastRenderedPageBreak/>
              <w:t>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144,67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147,62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100,91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101,39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3,02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101,51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101,99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M: образование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6,71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101,12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Раздел N: здравоохранение и предоставление социальных услуг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101,65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63,28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статистическими методами)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Собственные средства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банков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1089,76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кредиты иностранных банков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Заемные средства других организаций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средства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53,20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 субъектов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местных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9,05</w:t>
            </w:r>
          </w:p>
        </w:tc>
      </w:tr>
      <w:tr w:rsidR="00C50693" w:rsidTr="00C50693">
        <w:trPr>
          <w:trHeight w:val="39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в действие основных фондов в ценах соответствующих лет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1244,55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1269,95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обновления основных </w:t>
            </w:r>
            <w:r>
              <w:rPr>
                <w:color w:val="000000"/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федерального бюджета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бюджета субъекта Российской Федерации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11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консолидированного бюджета субъекта  Российской </w:t>
            </w:r>
            <w:r>
              <w:rPr>
                <w:b/>
                <w:bCs/>
                <w:sz w:val="28"/>
                <w:szCs w:val="28"/>
              </w:rPr>
              <w:lastRenderedPageBreak/>
              <w:t>Федерации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203,66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215,76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Налоговые и неналоговые доходы - всего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33,12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прибыль организаций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14,91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добычу полезных ископаемых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6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игорный бизнес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Неналоговые доходы - всего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182,64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из федерального бюджета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из федерального бюджета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93" w:rsidRDefault="00C5069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216,79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направлениям: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36,12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25,47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89,86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9,51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24,01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Дефици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-),профицит(+) консолидированного бюджета субъекта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-1,03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 Денежные доходы и расходы населения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1841,13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1824,39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предпринимательской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54,73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труда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966,93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767,42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755,32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758,86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собственности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39,61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40,22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пенсии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31,50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 и социальная помощь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стипендии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0,32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Реальные денежные доходы населения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95,01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Среднедушевые денежные доходы (в месяц)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15812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размер назначенных пенсий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7 362,70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8 275,80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8 441,32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8 976,00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Реальный размер назначенных пенсий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100,44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Величина прожиточного минимума (в среднем на душу населения)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9 800,00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общей численности населения субъекта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населения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1 857,39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1 861,23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1 827,70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1 836,13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1 818,39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покупка товаров и оплата услуг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1 381,01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1 430,29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1 410,41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1 417,67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1 397,47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1 404,78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покупка товаров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698,74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702,39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обязательные платежи и разнообразные взносы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153,25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260,36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Превышение доходов над расходами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(+), </w:t>
            </w:r>
            <w:proofErr w:type="gramEnd"/>
            <w:r>
              <w:rPr>
                <w:color w:val="000000"/>
                <w:sz w:val="28"/>
                <w:szCs w:val="28"/>
              </w:rPr>
              <w:t>или расходов над доходами (-)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 Труд и занятость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экономически активного населения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5,182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Среднегодовая численность </w:t>
            </w:r>
            <w:proofErr w:type="gramStart"/>
            <w:r>
              <w:rPr>
                <w:color w:val="000000"/>
                <w:sz w:val="28"/>
                <w:szCs w:val="28"/>
              </w:rPr>
              <w:t>занятых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экономике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1,392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1,399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17,82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18,18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Среднемесячная номинальная </w:t>
            </w:r>
            <w:r>
              <w:rPr>
                <w:color w:val="000000"/>
                <w:sz w:val="28"/>
                <w:szCs w:val="28"/>
              </w:rPr>
              <w:lastRenderedPageBreak/>
              <w:t>начисленная заработная плата в целом по региону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% к предыдущему </w:t>
            </w:r>
            <w:r>
              <w:rPr>
                <w:color w:val="000000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104,95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среднегодовой численности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занятых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в экономике по формам собственности: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0,580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смешанная российская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иностранная, совместная российская и иностранная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частная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0,819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безработицы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зарегистрированной </w:t>
            </w:r>
            <w:r>
              <w:rPr>
                <w:color w:val="000000"/>
                <w:sz w:val="28"/>
                <w:szCs w:val="28"/>
              </w:rPr>
              <w:lastRenderedPageBreak/>
              <w:t>безработицы (на конец года)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0,31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Численность безработных (по методологии МОТ)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3,783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0,019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начисленной заработной платы всех </w:t>
            </w:r>
            <w:r>
              <w:rPr>
                <w:color w:val="000000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Выплаты социального характера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0,0002</w:t>
            </w:r>
          </w:p>
        </w:tc>
      </w:tr>
      <w:tr w:rsidR="00C50693" w:rsidTr="00C50693">
        <w:trPr>
          <w:trHeight w:val="15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конец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 Развитие социальной сферы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детей в дошкольных образовательных учреждениях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Численность обучающихся общеобразовательных учреждениях (без вечерних (сменных)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общеобразовательных учреждениях (на начало учебного года) 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государственных и муниципальных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негосударственных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Численность студентов образовательных учреждений высшего профессионального образования (на начало </w:t>
            </w:r>
            <w:r>
              <w:rPr>
                <w:color w:val="000000"/>
                <w:sz w:val="28"/>
                <w:szCs w:val="28"/>
              </w:rPr>
              <w:lastRenderedPageBreak/>
              <w:t>учебного года)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из них в государственных и муниципальных образовательных учреждениях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Выпуск специалистов: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Обеспеченность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Обеспеченность: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rFonts w:ascii="Arial Cyr" w:hAnsi="Arial Cyr"/>
                <w:color w:val="000000"/>
                <w:sz w:val="18"/>
                <w:szCs w:val="18"/>
              </w:rPr>
            </w:pPr>
            <w:r>
              <w:rPr>
                <w:rFonts w:ascii="Arial Cyr" w:hAnsi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rFonts w:ascii="Arial Cyr" w:hAnsi="Arial Cyr"/>
                <w:color w:val="000000"/>
                <w:sz w:val="18"/>
                <w:szCs w:val="18"/>
              </w:rPr>
            </w:pPr>
            <w:r>
              <w:rPr>
                <w:rFonts w:ascii="Arial Cyr" w:hAnsi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больничными койками на 10 000 человек населения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общедоступными  библиотеками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учрежд. на 100 тыс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учреждениями культурно-досугового типа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учрежд. на 100 тыс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177,73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176,81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дошкольными образовательными учреждениями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 на 1000 детей в возрасте 1-6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1 130,00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конец года; посещений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врачей всех специальностей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конец года;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среднего медицинского персонала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конец года;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0,305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 Окружающая среда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Текущие затраты на охрану окружающей среды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C50693" w:rsidTr="00C50693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 за счет: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бюджетов субъектов Российской Федерации и местных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пр</w:t>
            </w:r>
            <w:proofErr w:type="gramEnd"/>
            <w:r>
              <w:rPr>
                <w:color w:val="000000"/>
                <w:sz w:val="28"/>
                <w:szCs w:val="28"/>
              </w:rPr>
              <w:t>едприятий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Сброс загрязненных сточных вод в поверхностные водные объекты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куб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свежей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1,248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оборотной и последовательно используемой воды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куб.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 Туризм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Все страны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Страны вне СНГ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Страны СНГ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Численность российских граждан, выехавших за границу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страны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Страны вне СНГ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Страны СНГ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54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потребительских цен на услуги  за период с начала года: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6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экскурсионные услуги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6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санаторно-оздоровительные услуги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6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железнодорожного транспорта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6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услуги воздушного транспорта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6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гостиниц и прочих мест проживания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6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общественное 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6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пассажирского транспорта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693" w:rsidTr="00C50693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93" w:rsidRDefault="00C5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50693" w:rsidRDefault="00C50693"/>
    <w:p w:rsidR="00C50693" w:rsidRDefault="00C50693"/>
    <w:p w:rsidR="00C50693" w:rsidRDefault="00C50693"/>
    <w:p w:rsidR="00C50693" w:rsidRDefault="00C50693"/>
    <w:p w:rsidR="00C50693" w:rsidRDefault="00C50693"/>
    <w:p w:rsidR="00C50693" w:rsidRDefault="00C50693"/>
    <w:p w:rsidR="00C50693" w:rsidRDefault="00C50693"/>
    <w:p w:rsidR="00C50693" w:rsidRDefault="00C50693">
      <w:pPr>
        <w:sectPr w:rsidR="00C50693" w:rsidSect="00C50693">
          <w:pgSz w:w="16838" w:h="11906" w:orient="landscape"/>
          <w:pgMar w:top="1418" w:right="902" w:bottom="851" w:left="357" w:header="709" w:footer="709" w:gutter="0"/>
          <w:cols w:space="708"/>
          <w:docGrid w:linePitch="360"/>
        </w:sectPr>
      </w:pPr>
    </w:p>
    <w:p w:rsidR="00C50693" w:rsidRDefault="00C50693" w:rsidP="00C50693">
      <w:pPr>
        <w:pStyle w:val="a3"/>
        <w:ind w:firstLine="540"/>
        <w:jc w:val="right"/>
      </w:pPr>
    </w:p>
    <w:p w:rsidR="00C50693" w:rsidRPr="0074350E" w:rsidRDefault="00C50693" w:rsidP="00C50693">
      <w:pPr>
        <w:pStyle w:val="a3"/>
        <w:ind w:firstLine="540"/>
      </w:pPr>
      <w:r>
        <w:t xml:space="preserve">Пояснительная записка по основным параметрам </w:t>
      </w:r>
      <w:r w:rsidRPr="0074350E">
        <w:t>прогноз</w:t>
      </w:r>
      <w:r>
        <w:t>а</w:t>
      </w:r>
      <w:r w:rsidRPr="0074350E">
        <w:t xml:space="preserve"> социально</w:t>
      </w:r>
      <w:r>
        <w:t>-</w:t>
      </w:r>
      <w:r w:rsidRPr="0074350E">
        <w:t>экономического развития Шумерлинского района</w:t>
      </w:r>
    </w:p>
    <w:p w:rsidR="00C50693" w:rsidRPr="0074350E" w:rsidRDefault="00C50693" w:rsidP="00C50693">
      <w:pPr>
        <w:pStyle w:val="a3"/>
        <w:ind w:firstLine="540"/>
      </w:pPr>
      <w:r w:rsidRPr="0074350E">
        <w:t xml:space="preserve"> на 201</w:t>
      </w:r>
      <w:r>
        <w:t>5</w:t>
      </w:r>
      <w:r w:rsidRPr="0074350E">
        <w:t xml:space="preserve"> год и на </w:t>
      </w:r>
      <w:r>
        <w:t xml:space="preserve">плановый </w:t>
      </w:r>
      <w:r w:rsidRPr="0074350E">
        <w:t xml:space="preserve">период </w:t>
      </w:r>
      <w:r>
        <w:t xml:space="preserve">2016 и </w:t>
      </w:r>
      <w:r w:rsidRPr="0074350E">
        <w:t xml:space="preserve"> 201</w:t>
      </w:r>
      <w:r>
        <w:t>7</w:t>
      </w:r>
      <w:r w:rsidRPr="0074350E">
        <w:t xml:space="preserve"> год</w:t>
      </w:r>
      <w:r>
        <w:t>ов</w:t>
      </w:r>
    </w:p>
    <w:p w:rsidR="00C50693" w:rsidRPr="0074350E" w:rsidRDefault="00C50693" w:rsidP="00C50693">
      <w:pPr>
        <w:pStyle w:val="a3"/>
        <w:ind w:firstLine="540"/>
      </w:pPr>
    </w:p>
    <w:p w:rsidR="00C50693" w:rsidRPr="0074350E" w:rsidRDefault="00C50693" w:rsidP="00C50693">
      <w:pPr>
        <w:ind w:firstLine="540"/>
        <w:jc w:val="both"/>
        <w:rPr>
          <w:b/>
        </w:rPr>
      </w:pPr>
      <w:proofErr w:type="gramStart"/>
      <w:r w:rsidRPr="0074350E">
        <w:t>Основой для разработки прогноза социально-экономического развития Шумерлинского района на 20</w:t>
      </w:r>
      <w:r>
        <w:t>15</w:t>
      </w:r>
      <w:r w:rsidRPr="0074350E">
        <w:t xml:space="preserve"> год и  на период до 201</w:t>
      </w:r>
      <w:r>
        <w:t>7</w:t>
      </w:r>
      <w:r w:rsidRPr="0074350E">
        <w:t xml:space="preserve"> года являются Послание </w:t>
      </w:r>
      <w:r>
        <w:t>Главы</w:t>
      </w:r>
      <w:r w:rsidRPr="0074350E">
        <w:t xml:space="preserve"> Чувашской Республики Государственному Совету Чувашской Республики на 201</w:t>
      </w:r>
      <w:r>
        <w:t>4</w:t>
      </w:r>
      <w:r w:rsidRPr="0074350E">
        <w:t xml:space="preserve"> год, Стратегия социально-экономического развития Шумерлинского района до 2020 года, </w:t>
      </w:r>
      <w:r>
        <w:t>статистические данные, отчетные данные организаций всех форм собственности, осуществляющих деятельность на территории района за 2012-2013 годы</w:t>
      </w:r>
      <w:r w:rsidRPr="0074350E">
        <w:t>, а также анализ экономической ситуации в районе</w:t>
      </w:r>
      <w:proofErr w:type="gramEnd"/>
      <w:r w:rsidRPr="0074350E">
        <w:t xml:space="preserve"> за ряд лет.</w:t>
      </w:r>
    </w:p>
    <w:p w:rsidR="00C50693" w:rsidRDefault="00C50693" w:rsidP="00C50693">
      <w:pPr>
        <w:pStyle w:val="4"/>
        <w:spacing w:before="0" w:after="0"/>
        <w:ind w:firstLine="540"/>
        <w:jc w:val="both"/>
        <w:rPr>
          <w:b w:val="0"/>
          <w:sz w:val="24"/>
          <w:szCs w:val="24"/>
        </w:rPr>
      </w:pPr>
      <w:r w:rsidRPr="0074350E">
        <w:rPr>
          <w:b w:val="0"/>
          <w:sz w:val="24"/>
          <w:szCs w:val="24"/>
        </w:rPr>
        <w:t>В ходе подготовки основных показателей учтены прогнозируемые индексы - дефляторы цен и тарифов в Чувашской Республике до 201</w:t>
      </w:r>
      <w:r>
        <w:rPr>
          <w:b w:val="0"/>
          <w:sz w:val="24"/>
          <w:szCs w:val="24"/>
        </w:rPr>
        <w:t>7</w:t>
      </w:r>
      <w:r w:rsidRPr="0074350E">
        <w:rPr>
          <w:b w:val="0"/>
          <w:sz w:val="24"/>
          <w:szCs w:val="24"/>
        </w:rPr>
        <w:t xml:space="preserve"> года. Прогноз является ориентиром социально-экономического развития Шумерлинского района на прогнозируемый период для органов местного самоуправления, хозяйствующих субъектов экономики района и принятия конкретных решений в области социально-экономической политики.</w:t>
      </w:r>
    </w:p>
    <w:p w:rsidR="00C50693" w:rsidRPr="008D62E5" w:rsidRDefault="00C50693" w:rsidP="00C50693"/>
    <w:p w:rsidR="00C50693" w:rsidRPr="000A0781" w:rsidRDefault="00C50693" w:rsidP="00C50693">
      <w:pPr>
        <w:pStyle w:val="a3"/>
        <w:ind w:firstLine="567"/>
        <w:jc w:val="both"/>
        <w:rPr>
          <w:b/>
          <w:color w:val="000000"/>
        </w:rPr>
      </w:pPr>
      <w:r w:rsidRPr="000A0781">
        <w:rPr>
          <w:b/>
          <w:color w:val="000000"/>
        </w:rPr>
        <w:t>Прогноз разработан на вариантной основе в составе двух основных вариантов – вариант 1 (базовый) и вариант 2 (умеренно-оптимистичный)</w:t>
      </w:r>
    </w:p>
    <w:p w:rsidR="00C50693" w:rsidRPr="000A0781" w:rsidRDefault="00C50693" w:rsidP="00C50693">
      <w:pPr>
        <w:ind w:firstLine="540"/>
        <w:jc w:val="both"/>
      </w:pPr>
      <w:r w:rsidRPr="000A0781">
        <w:rPr>
          <w:b/>
        </w:rPr>
        <w:t>Первый (</w:t>
      </w:r>
      <w:r>
        <w:rPr>
          <w:b/>
        </w:rPr>
        <w:t>базовый</w:t>
      </w:r>
      <w:r w:rsidRPr="000A0781">
        <w:rPr>
          <w:b/>
        </w:rPr>
        <w:t xml:space="preserve">) вариант </w:t>
      </w:r>
      <w:r w:rsidRPr="000A0781">
        <w:t>– инерционный вариант, отражает сложившиеся тенденции развития экономики, сохранение достаточно благоприятной внешнеэкономической конъюнктуры.</w:t>
      </w:r>
    </w:p>
    <w:p w:rsidR="00C50693" w:rsidRPr="000A0781" w:rsidRDefault="00C50693" w:rsidP="00C50693">
      <w:pPr>
        <w:ind w:firstLine="540"/>
        <w:jc w:val="both"/>
      </w:pPr>
      <w:r w:rsidRPr="000A0781">
        <w:rPr>
          <w:b/>
        </w:rPr>
        <w:t>Второй вариант</w:t>
      </w:r>
      <w:r w:rsidRPr="000A0781">
        <w:t xml:space="preserve"> – умеренно-оптимистичный вариант ориентируется на ускорение экономического роста за счет повышения конкурентоспособности экономики, улучшения инвестиционного климата, обеспечивающих инновационно-ориентированный путь развития и интенсивные структурные сдвиги. </w:t>
      </w:r>
    </w:p>
    <w:p w:rsidR="00C50693" w:rsidRPr="000A0781" w:rsidRDefault="00C50693" w:rsidP="00C50693">
      <w:pPr>
        <w:ind w:firstLine="540"/>
        <w:jc w:val="both"/>
        <w:rPr>
          <w:bCs/>
        </w:rPr>
      </w:pPr>
      <w:r w:rsidRPr="000A0781">
        <w:rPr>
          <w:bCs/>
        </w:rPr>
        <w:t>Базовый вариант (вариант 1) предлагается использовать для разработки параметров местного бюджета на 2015- 2017 годы.</w:t>
      </w:r>
    </w:p>
    <w:p w:rsidR="00C50693" w:rsidRDefault="00C50693" w:rsidP="00C50693">
      <w:pPr>
        <w:pStyle w:val="2"/>
        <w:ind w:firstLine="540"/>
      </w:pPr>
    </w:p>
    <w:p w:rsidR="00C50693" w:rsidRPr="0074350E" w:rsidRDefault="00C50693" w:rsidP="00C50693">
      <w:pPr>
        <w:pStyle w:val="2"/>
        <w:ind w:firstLine="540"/>
      </w:pPr>
      <w:r w:rsidRPr="0074350E">
        <w:t>Функционирование экономики района в среднесрочной перспективе будет определяться внешними и внутренними условиями</w:t>
      </w:r>
      <w:r w:rsidRPr="0074350E">
        <w:rPr>
          <w:b/>
        </w:rPr>
        <w:t xml:space="preserve"> </w:t>
      </w:r>
      <w:r w:rsidRPr="0074350E">
        <w:t xml:space="preserve">и факторами. </w:t>
      </w:r>
    </w:p>
    <w:p w:rsidR="00C50693" w:rsidRPr="0074350E" w:rsidRDefault="00C50693" w:rsidP="00C50693">
      <w:pPr>
        <w:pStyle w:val="2"/>
        <w:ind w:firstLine="540"/>
      </w:pPr>
      <w:r w:rsidRPr="0074350E">
        <w:t xml:space="preserve">Среди </w:t>
      </w:r>
      <w:r w:rsidRPr="0074350E">
        <w:rPr>
          <w:b/>
        </w:rPr>
        <w:t>внешних условий</w:t>
      </w:r>
      <w:r w:rsidRPr="0074350E">
        <w:t xml:space="preserve"> наибольшее значение будут иметь динамика цен на энергоносители, динамика развития мировой экономики и вступление России во Всемирную торговую организацию.</w:t>
      </w:r>
    </w:p>
    <w:p w:rsidR="00C50693" w:rsidRPr="0074350E" w:rsidRDefault="00C50693" w:rsidP="00C50693">
      <w:pPr>
        <w:ind w:firstLine="540"/>
        <w:jc w:val="both"/>
      </w:pPr>
      <w:r w:rsidRPr="0074350E">
        <w:t xml:space="preserve">К </w:t>
      </w:r>
      <w:r w:rsidRPr="0074350E">
        <w:rPr>
          <w:b/>
        </w:rPr>
        <w:t>внутренним условиям</w:t>
      </w:r>
      <w:r w:rsidRPr="0074350E">
        <w:t xml:space="preserve"> относится комплекс факторов по эффективности использования капитальных и интеллектуальных ресурсов, по реализации бюджетной политики и формированию эффективной системы бюджетных расходов, по расширению налоговой базы района. Окажет влияние и состояние производственных фондов, развитие производственной инфраструктуры, интенсификация инвестиционной деятельности, тарифная политика и демографическая ситуация.</w:t>
      </w:r>
    </w:p>
    <w:p w:rsidR="00C50693" w:rsidRDefault="00C50693" w:rsidP="00C50693">
      <w:pPr>
        <w:ind w:firstLine="540"/>
        <w:jc w:val="both"/>
      </w:pPr>
      <w:r w:rsidRPr="0074350E">
        <w:t>Главной задачей социально-экономической политики района на среднесрочную перспективу является обеспечение повышения уровня жизни населения на основе повышения эффективности функционирования экономики через укрепление конкурентоспособности, развитие структуры производства.</w:t>
      </w:r>
    </w:p>
    <w:p w:rsidR="00C50693" w:rsidRPr="0074350E" w:rsidRDefault="00C50693" w:rsidP="00C50693">
      <w:pPr>
        <w:ind w:firstLine="540"/>
        <w:jc w:val="both"/>
      </w:pPr>
    </w:p>
    <w:p w:rsidR="00C50693" w:rsidRPr="00786B7B" w:rsidRDefault="00C50693" w:rsidP="00C50693">
      <w:pPr>
        <w:pStyle w:val="ab"/>
        <w:spacing w:line="216" w:lineRule="auto"/>
        <w:ind w:firstLine="540"/>
        <w:rPr>
          <w:color w:val="FF0000"/>
        </w:rPr>
      </w:pPr>
      <w:r w:rsidRPr="00786B7B">
        <w:lastRenderedPageBreak/>
        <w:t xml:space="preserve">Основные </w:t>
      </w:r>
      <w:r w:rsidRPr="00786B7B">
        <w:rPr>
          <w:b/>
        </w:rPr>
        <w:t>отрасли сельского хозяйства</w:t>
      </w:r>
      <w:r w:rsidRPr="00786B7B">
        <w:t xml:space="preserve"> района – производство зерна, картофелеводство, молочное скотоводство.</w:t>
      </w:r>
      <w:r w:rsidRPr="00786B7B">
        <w:rPr>
          <w:color w:val="FF0000"/>
        </w:rPr>
        <w:t xml:space="preserve"> </w:t>
      </w:r>
      <w:r w:rsidRPr="00786B7B">
        <w:t>На территории района  зарегистрировано 12 сельскохозяйственных предприятий, 30 крестья</w:t>
      </w:r>
      <w:r w:rsidRPr="00786B7B">
        <w:t>н</w:t>
      </w:r>
      <w:r w:rsidRPr="00786B7B">
        <w:t>ских фермерских хозяйств, 6125 ЛПХ.</w:t>
      </w:r>
    </w:p>
    <w:p w:rsidR="00C50693" w:rsidRPr="006B3D55" w:rsidRDefault="00C50693" w:rsidP="00C50693">
      <w:pPr>
        <w:pStyle w:val="ab"/>
        <w:spacing w:line="216" w:lineRule="auto"/>
        <w:ind w:firstLine="540"/>
      </w:pPr>
      <w:r w:rsidRPr="00786B7B">
        <w:t>Индекс производства продукции сельского хозяйства  во всех категориях  хозяйств по итогам  2013 года составил 90,8 %, по оценке 2014 года – 93,75 %. Индекс производства продукции сельского хозяйства в сопоставимых ценах во всех категориях  хозяйств к 2018 по прогнозу  составит  в пределах</w:t>
      </w:r>
      <w:r w:rsidRPr="006B3D55">
        <w:t xml:space="preserve"> 9</w:t>
      </w:r>
      <w:r>
        <w:t>5</w:t>
      </w:r>
      <w:r w:rsidRPr="006B3D55">
        <w:t>,</w:t>
      </w:r>
      <w:r>
        <w:t>4</w:t>
      </w:r>
      <w:r w:rsidRPr="006B3D55">
        <w:t xml:space="preserve"> %. Причин</w:t>
      </w:r>
      <w:r>
        <w:t>а</w:t>
      </w:r>
      <w:r w:rsidRPr="006B3D55">
        <w:t xml:space="preserve"> спада связана с  сохраняющейся тенденцией</w:t>
      </w:r>
      <w:r w:rsidRPr="006B3D55">
        <w:rPr>
          <w:rStyle w:val="apple-converted-space"/>
          <w:shd w:val="clear" w:color="auto" w:fill="FFFFFF"/>
        </w:rPr>
        <w:t> </w:t>
      </w:r>
      <w:r w:rsidRPr="006B3D55">
        <w:rPr>
          <w:rStyle w:val="ae"/>
          <w:bCs/>
          <w:i w:val="0"/>
          <w:iCs w:val="0"/>
          <w:shd w:val="clear" w:color="auto" w:fill="FFFFFF"/>
        </w:rPr>
        <w:t xml:space="preserve"> естественной убыли сельского населения.</w:t>
      </w:r>
    </w:p>
    <w:p w:rsidR="00C50693" w:rsidRDefault="00C50693" w:rsidP="00C50693">
      <w:pPr>
        <w:ind w:firstLine="567"/>
        <w:jc w:val="both"/>
      </w:pPr>
      <w:r w:rsidRPr="0074350E">
        <w:t xml:space="preserve">Во всех категориях хозяйств </w:t>
      </w:r>
      <w:r>
        <w:t xml:space="preserve">в 2013 году </w:t>
      </w:r>
      <w:r w:rsidRPr="0074350E">
        <w:t xml:space="preserve">намолочено зерна в весе после доработки </w:t>
      </w:r>
      <w:r>
        <w:t xml:space="preserve">2,96 тыс. тонн, </w:t>
      </w:r>
      <w:r w:rsidRPr="0074350E">
        <w:t xml:space="preserve">собрано овощей открытого грунта – </w:t>
      </w:r>
      <w:r>
        <w:t>2,91 тыс.</w:t>
      </w:r>
      <w:r w:rsidRPr="0074350E">
        <w:t xml:space="preserve"> тонн, </w:t>
      </w:r>
      <w:r>
        <w:t>собрано картофеля – 9,95 тыс. тонн; по оценке 2014 года данные показатели равны 4,5  тыс.</w:t>
      </w:r>
      <w:r w:rsidRPr="0074350E">
        <w:t xml:space="preserve"> тонн</w:t>
      </w:r>
      <w:r>
        <w:t>, 3,0 тыс.</w:t>
      </w:r>
      <w:r w:rsidRPr="0074350E">
        <w:t xml:space="preserve"> тонн</w:t>
      </w:r>
      <w:r>
        <w:t xml:space="preserve">, 10,8 </w:t>
      </w:r>
      <w:r w:rsidRPr="00FE66C7">
        <w:t>тыс. тонн</w:t>
      </w:r>
      <w:r>
        <w:t xml:space="preserve"> соответственно. По прогнозу по итогам 2017 года ожидается увеличение валового сбора зерна во всех категориях хозяйств (в весе после доработки)  до 6,0-6,5 тыс. тонн </w:t>
      </w:r>
      <w:r w:rsidRPr="006B3D55">
        <w:t>за счет использовани</w:t>
      </w:r>
      <w:r>
        <w:t>я</w:t>
      </w:r>
      <w:r w:rsidRPr="006B3D55">
        <w:t xml:space="preserve"> имеющегося потенциала роста сельскохозяйственного производства за счет </w:t>
      </w:r>
      <w:r>
        <w:t>реализации инвестиционных проектов в сфере сельского хозяйства</w:t>
      </w:r>
      <w:r w:rsidRPr="006B3D55">
        <w:t xml:space="preserve">. </w:t>
      </w:r>
      <w:r>
        <w:t>В</w:t>
      </w:r>
      <w:r w:rsidRPr="00884E5E">
        <w:t xml:space="preserve">аловый сбор картофеля составит </w:t>
      </w:r>
      <w:r>
        <w:t xml:space="preserve">12,0 </w:t>
      </w:r>
      <w:r w:rsidRPr="00884E5E">
        <w:t>тыс.</w:t>
      </w:r>
      <w:r>
        <w:t xml:space="preserve"> </w:t>
      </w:r>
      <w:r w:rsidRPr="00884E5E">
        <w:t>тонн, валовый сбор овощей  - около 3,</w:t>
      </w:r>
      <w:r>
        <w:t>0</w:t>
      </w:r>
      <w:r w:rsidRPr="00884E5E">
        <w:t xml:space="preserve"> тыс. тонн.</w:t>
      </w:r>
      <w:r>
        <w:t xml:space="preserve"> </w:t>
      </w:r>
    </w:p>
    <w:p w:rsidR="00C50693" w:rsidRPr="00190E32" w:rsidRDefault="00C50693" w:rsidP="00C50693">
      <w:pPr>
        <w:ind w:firstLine="748"/>
        <w:jc w:val="both"/>
      </w:pPr>
      <w:r w:rsidRPr="00190E32">
        <w:t>В настоящее время в районе реализуются следующие инвестиционные проекты:</w:t>
      </w:r>
    </w:p>
    <w:p w:rsidR="00C50693" w:rsidRPr="00190E32" w:rsidRDefault="00C50693" w:rsidP="00C50693">
      <w:pPr>
        <w:jc w:val="both"/>
      </w:pPr>
      <w:r>
        <w:t xml:space="preserve">      </w:t>
      </w:r>
      <w:r w:rsidRPr="00190E32">
        <w:t>1. ООО «Агропромгаз» возобновляет работу по выращиванию грибов шампиньонов. Готовиться финансово – экономическое обос</w:t>
      </w:r>
      <w:r>
        <w:t>нование для разработки бизнес-</w:t>
      </w:r>
      <w:r w:rsidRPr="00190E32">
        <w:t>плана. Подана заявка в чува</w:t>
      </w:r>
      <w:r w:rsidRPr="00190E32">
        <w:t>ш</w:t>
      </w:r>
      <w:r w:rsidRPr="00190E32">
        <w:t>ское отделение ОАО «Сбербанк России» о выделение кредит</w:t>
      </w:r>
      <w:r>
        <w:t>а</w:t>
      </w:r>
      <w:r w:rsidRPr="00190E32">
        <w:t xml:space="preserve"> в размере 250 млн. рублей. </w:t>
      </w:r>
    </w:p>
    <w:p w:rsidR="00C50693" w:rsidRPr="00190E32" w:rsidRDefault="00C50693" w:rsidP="00C50693">
      <w:pPr>
        <w:jc w:val="both"/>
      </w:pPr>
      <w:r>
        <w:t xml:space="preserve">     </w:t>
      </w:r>
      <w:r w:rsidRPr="00190E32">
        <w:t>2. ООО «Кеннет»</w:t>
      </w:r>
      <w:r>
        <w:t xml:space="preserve"> -</w:t>
      </w:r>
      <w:r w:rsidRPr="00190E32">
        <w:t xml:space="preserve"> </w:t>
      </w:r>
      <w:r>
        <w:t>п</w:t>
      </w:r>
      <w:r w:rsidRPr="00190E32">
        <w:t>роизводство сельскохозяйственной продукции растениеводства. По состо</w:t>
      </w:r>
      <w:r w:rsidRPr="00190E32">
        <w:t>я</w:t>
      </w:r>
      <w:r w:rsidRPr="00190E32">
        <w:t xml:space="preserve">нию на 1 октября </w:t>
      </w:r>
      <w:r>
        <w:t xml:space="preserve">2014г. </w:t>
      </w:r>
      <w:smartTag w:uri="urn:schemas-microsoft-com:office:smarttags" w:element="metricconverter">
        <w:smartTagPr>
          <w:attr w:name="ProductID" w:val="313 га"/>
        </w:smartTagPr>
        <w:r w:rsidRPr="00190E32">
          <w:t>313 га</w:t>
        </w:r>
      </w:smartTag>
      <w:r>
        <w:t xml:space="preserve"> оформлено в собственность,</w:t>
      </w:r>
      <w:r w:rsidRPr="00190E32">
        <w:t xml:space="preserve"> </w:t>
      </w:r>
      <w:smartTag w:uri="urn:schemas-microsoft-com:office:smarttags" w:element="metricconverter">
        <w:smartTagPr>
          <w:attr w:name="ProductID" w:val="131,6 га"/>
        </w:smartTagPr>
        <w:r w:rsidRPr="00190E32">
          <w:t>131,6 га</w:t>
        </w:r>
      </w:smartTag>
      <w:r w:rsidRPr="00190E32">
        <w:t xml:space="preserve"> </w:t>
      </w:r>
      <w:r>
        <w:t xml:space="preserve">- </w:t>
      </w:r>
      <w:r w:rsidRPr="00190E32">
        <w:t>в аренде.</w:t>
      </w:r>
      <w:r w:rsidRPr="004347DA">
        <w:t xml:space="preserve"> </w:t>
      </w:r>
      <w:r w:rsidRPr="00190E32">
        <w:t xml:space="preserve">Посеяно </w:t>
      </w:r>
      <w:smartTag w:uri="urn:schemas-microsoft-com:office:smarttags" w:element="metricconverter">
        <w:smartTagPr>
          <w:attr w:name="ProductID" w:val="214 га"/>
        </w:smartTagPr>
        <w:r w:rsidRPr="00190E32">
          <w:t>214 га</w:t>
        </w:r>
      </w:smartTag>
      <w:r w:rsidRPr="00190E32">
        <w:t xml:space="preserve"> рапса.</w:t>
      </w:r>
      <w:r>
        <w:t xml:space="preserve"> </w:t>
      </w:r>
      <w:r w:rsidRPr="00190E32">
        <w:t>В</w:t>
      </w:r>
      <w:r w:rsidRPr="00190E32">
        <w:t>а</w:t>
      </w:r>
      <w:r w:rsidRPr="00190E32">
        <w:t>ловый сбор составил 217 тонн, урожайность 10 ц/га</w:t>
      </w:r>
      <w:r>
        <w:t xml:space="preserve">. </w:t>
      </w:r>
      <w:r w:rsidRPr="00190E32">
        <w:t xml:space="preserve">Приобретен трактор с дискатором и посевной комплекс – «Агратор 5400м». </w:t>
      </w:r>
    </w:p>
    <w:p w:rsidR="00C50693" w:rsidRDefault="00C50693" w:rsidP="00C50693">
      <w:pPr>
        <w:jc w:val="both"/>
      </w:pPr>
      <w:r>
        <w:t xml:space="preserve">      </w:t>
      </w:r>
      <w:r w:rsidRPr="00190E32">
        <w:t>3. Производство молока (КФХ Харитонов)</w:t>
      </w:r>
      <w:r>
        <w:t>.</w:t>
      </w:r>
      <w:r w:rsidRPr="00190E32">
        <w:t xml:space="preserve"> В настоящее время в хозяйстве содержится 63 гол</w:t>
      </w:r>
      <w:r w:rsidRPr="00190E32">
        <w:t>о</w:t>
      </w:r>
      <w:r w:rsidRPr="00190E32">
        <w:t>вы КРС, из них 33 коровы. За 9 месяцев 2014 года произведено 90 тонн молока  и 2,88 тонн мяса.</w:t>
      </w:r>
    </w:p>
    <w:p w:rsidR="00C50693" w:rsidRPr="00190E32" w:rsidRDefault="00C50693" w:rsidP="00C50693">
      <w:pPr>
        <w:jc w:val="both"/>
      </w:pPr>
      <w:r w:rsidRPr="00190E32">
        <w:t xml:space="preserve">      4. ООО «Новые Агро Технологии – Поволжье» </w:t>
      </w:r>
      <w:r>
        <w:t xml:space="preserve"> - п</w:t>
      </w:r>
      <w:r w:rsidRPr="00190E32">
        <w:t>роизводство металлических конструкций, изделий и нестандартного оборудования для строительства и реконструкции животноводческих помещений.</w:t>
      </w:r>
      <w:r>
        <w:t xml:space="preserve"> </w:t>
      </w:r>
      <w:r w:rsidRPr="00190E32">
        <w:t xml:space="preserve"> Построена производственная база по производству металлических конструкций, изделий и нестандартного оборудования для строительства и реконструкции животноводческих пом</w:t>
      </w:r>
      <w:r w:rsidRPr="00190E32">
        <w:t>е</w:t>
      </w:r>
      <w:r w:rsidRPr="00190E32">
        <w:t>щений со сметной стоимостью 8 млн. рублей.</w:t>
      </w:r>
      <w:r>
        <w:t xml:space="preserve"> </w:t>
      </w:r>
      <w:r w:rsidRPr="00190E32">
        <w:t>В настоящее время ведется газификация объекта и реконструкция подъездных путей</w:t>
      </w:r>
    </w:p>
    <w:p w:rsidR="00C50693" w:rsidRPr="000F1645" w:rsidRDefault="00C50693" w:rsidP="00C50693">
      <w:pPr>
        <w:ind w:firstLine="680"/>
        <w:jc w:val="both"/>
      </w:pPr>
      <w:r w:rsidRPr="000F1645">
        <w:t>Реализация данных инвестиционных проектов позволит увеличить пог</w:t>
      </w:r>
      <w:r w:rsidRPr="000F1645">
        <w:t>о</w:t>
      </w:r>
      <w:r w:rsidRPr="000F1645">
        <w:t xml:space="preserve">ловье КРС в общественном секторе на 150 голов, производство мяса на 3% и </w:t>
      </w:r>
      <w:r>
        <w:t xml:space="preserve">увеличить </w:t>
      </w:r>
      <w:r w:rsidRPr="000F1645">
        <w:t>производство м</w:t>
      </w:r>
      <w:r w:rsidRPr="000F1645">
        <w:t>о</w:t>
      </w:r>
      <w:r w:rsidRPr="000F1645">
        <w:t xml:space="preserve">лока. </w:t>
      </w:r>
    </w:p>
    <w:p w:rsidR="00C50693" w:rsidRPr="000F1645" w:rsidRDefault="00C50693" w:rsidP="00C50693">
      <w:pPr>
        <w:ind w:firstLine="680"/>
        <w:jc w:val="both"/>
      </w:pPr>
      <w:r w:rsidRPr="000F1645">
        <w:t>Другой резерв в увеличении производимой  сельхозпродукции – это эффективная работа ЛПХ. Основное внимание необходимо уделить на качество производимой  продукции в ЛПХ. Необходимо проводить разъяснительную работу, оказывать содействие в приобретении хороших семян, удобрений, племенного скота. Только качественно произведённая продукция может быть конкурентноспособной  и принести доход  её владельцу.</w:t>
      </w:r>
    </w:p>
    <w:p w:rsidR="00C50693" w:rsidRPr="0074350E" w:rsidRDefault="00C50693" w:rsidP="00C50693">
      <w:pPr>
        <w:ind w:firstLine="540"/>
        <w:jc w:val="both"/>
      </w:pPr>
      <w:r w:rsidRPr="00E970DC">
        <w:t>За 2013 год в хозяйствах всех категорий производство скота и птицы на убой в живом весе составило 1,</w:t>
      </w:r>
      <w:r>
        <w:t>37</w:t>
      </w:r>
      <w:r w:rsidRPr="00E970DC">
        <w:t xml:space="preserve"> тыс. тонн. Производство молока составило </w:t>
      </w:r>
      <w:r>
        <w:t>7,96</w:t>
      </w:r>
      <w:r w:rsidRPr="00E970DC">
        <w:t xml:space="preserve"> тыс. тонн</w:t>
      </w:r>
      <w:r w:rsidRPr="00BD5F38">
        <w:t xml:space="preserve">. </w:t>
      </w:r>
      <w:r w:rsidRPr="0074350E">
        <w:t>Производство яиц за 201</w:t>
      </w:r>
      <w:r>
        <w:t>3</w:t>
      </w:r>
      <w:r w:rsidRPr="0074350E">
        <w:t xml:space="preserve"> год составило 1</w:t>
      </w:r>
      <w:r>
        <w:t>,77</w:t>
      </w:r>
      <w:r w:rsidRPr="0074350E">
        <w:t xml:space="preserve"> тыс. штук.</w:t>
      </w:r>
      <w:r>
        <w:t xml:space="preserve"> Оценочные результаты на 2014 год: </w:t>
      </w:r>
      <w:r w:rsidRPr="0074350E">
        <w:t>производство скота и птицы на убой в живом весе</w:t>
      </w:r>
      <w:r>
        <w:t xml:space="preserve"> - 1,80 тыс. тонн, производство молока – 8,50 тыс. тонн, производство яиц – 1,97 млн. штук.</w:t>
      </w:r>
      <w:r w:rsidRPr="00586514">
        <w:t xml:space="preserve"> </w:t>
      </w:r>
      <w:r>
        <w:t>По прогнозу по итогам 2017 года ожидается сохранение объемов произво</w:t>
      </w:r>
      <w:proofErr w:type="gramStart"/>
      <w:r>
        <w:t>дств пр</w:t>
      </w:r>
      <w:proofErr w:type="gramEnd"/>
      <w:r>
        <w:t>одукции животноводства во всех категориях хозяйств</w:t>
      </w:r>
      <w:r w:rsidRPr="00884E5E">
        <w:t>.</w:t>
      </w:r>
    </w:p>
    <w:p w:rsidR="00C50693" w:rsidRPr="006B3D55" w:rsidRDefault="00C50693" w:rsidP="00C50693">
      <w:pPr>
        <w:ind w:firstLine="540"/>
        <w:jc w:val="both"/>
      </w:pPr>
      <w:r w:rsidRPr="006B3D55">
        <w:t xml:space="preserve">Основными условиями </w:t>
      </w:r>
      <w:proofErr w:type="gramStart"/>
      <w:r w:rsidRPr="006B3D55">
        <w:t>достижения прогнозируемых темпов роста социально-экономического развития сельского хозяйства</w:t>
      </w:r>
      <w:proofErr w:type="gramEnd"/>
      <w:r w:rsidRPr="006B3D55">
        <w:t xml:space="preserve"> на период до 201</w:t>
      </w:r>
      <w:r>
        <w:t>7</w:t>
      </w:r>
      <w:r w:rsidRPr="006B3D55">
        <w:t xml:space="preserve"> года являются:</w:t>
      </w:r>
    </w:p>
    <w:p w:rsidR="00C50693" w:rsidRPr="006B3D55" w:rsidRDefault="00C50693" w:rsidP="00C50693">
      <w:pPr>
        <w:numPr>
          <w:ilvl w:val="0"/>
          <w:numId w:val="2"/>
        </w:numPr>
        <w:jc w:val="both"/>
      </w:pPr>
      <w:r w:rsidRPr="006B3D55">
        <w:t>развитие направлений, определенных приоритетным национальным проектом "Развитие агропромышленного комплекса", связанное с выделением средств на их реализацию;</w:t>
      </w:r>
    </w:p>
    <w:p w:rsidR="00C50693" w:rsidRPr="006B3D55" w:rsidRDefault="00C50693" w:rsidP="00C50693">
      <w:pPr>
        <w:numPr>
          <w:ilvl w:val="0"/>
          <w:numId w:val="2"/>
        </w:numPr>
        <w:jc w:val="both"/>
      </w:pPr>
      <w:r w:rsidRPr="006B3D55">
        <w:t>развитие кормовой базы на основе производства культур, обеспечивающих кормопроизводство белком, которое позволит существенно уменьшить зависимость наращивания производства продукции животноводства;</w:t>
      </w:r>
    </w:p>
    <w:p w:rsidR="00C50693" w:rsidRPr="006B3D55" w:rsidRDefault="00C50693" w:rsidP="00C50693">
      <w:pPr>
        <w:numPr>
          <w:ilvl w:val="0"/>
          <w:numId w:val="2"/>
        </w:numPr>
        <w:jc w:val="both"/>
      </w:pPr>
      <w:r w:rsidRPr="006B3D55">
        <w:lastRenderedPageBreak/>
        <w:t>ускоренный переход к использованию новых высокопроизводительных и ресурсосберегающих технологий, а также к разработке совместно с органами исполнительной власти, осуществляющими управление агропромышленным комплексом, зональных технологий сельскохозяйственного производства;</w:t>
      </w:r>
    </w:p>
    <w:p w:rsidR="00C50693" w:rsidRPr="006B3D55" w:rsidRDefault="00C50693" w:rsidP="00C50693">
      <w:pPr>
        <w:numPr>
          <w:ilvl w:val="0"/>
          <w:numId w:val="2"/>
        </w:numPr>
        <w:jc w:val="both"/>
      </w:pPr>
      <w:r w:rsidRPr="006B3D55">
        <w:t>улучшение финансового положения сельскохозяйственных товаропроизводителей и их материально-технической базы;</w:t>
      </w:r>
    </w:p>
    <w:p w:rsidR="00C50693" w:rsidRPr="006B3D55" w:rsidRDefault="00C50693" w:rsidP="00C50693">
      <w:pPr>
        <w:numPr>
          <w:ilvl w:val="0"/>
          <w:numId w:val="2"/>
        </w:numPr>
        <w:jc w:val="both"/>
      </w:pPr>
      <w:r w:rsidRPr="006B3D55">
        <w:t>повышение платежеспособности сельскохозяйственных товаропроизводителей;</w:t>
      </w:r>
    </w:p>
    <w:p w:rsidR="00C50693" w:rsidRPr="006B3D55" w:rsidRDefault="00C50693" w:rsidP="00C50693">
      <w:pPr>
        <w:numPr>
          <w:ilvl w:val="0"/>
          <w:numId w:val="2"/>
        </w:numPr>
        <w:jc w:val="both"/>
      </w:pPr>
      <w:r w:rsidRPr="006B3D55">
        <w:t>повышение производительности труда на основе стимулирования к использованию современных технологий, совершенствование организации производства, а также организации труда и управления;</w:t>
      </w:r>
    </w:p>
    <w:p w:rsidR="00C50693" w:rsidRPr="006B3D55" w:rsidRDefault="00C50693" w:rsidP="00C50693">
      <w:pPr>
        <w:numPr>
          <w:ilvl w:val="0"/>
          <w:numId w:val="2"/>
        </w:numPr>
        <w:jc w:val="both"/>
      </w:pPr>
      <w:r w:rsidRPr="006B3D55">
        <w:t>создание условий сельскохозяйственным и другим товаропроизводителям агропромышленного комплекса для инвестирования в модернизацию и техническое перевооружение производства.</w:t>
      </w:r>
    </w:p>
    <w:p w:rsidR="00C50693" w:rsidRDefault="00C50693" w:rsidP="00C50693">
      <w:pPr>
        <w:ind w:firstLine="540"/>
        <w:jc w:val="both"/>
      </w:pPr>
      <w:r w:rsidRPr="00C42610">
        <w:t xml:space="preserve">В соответствии со стратегическими направлениями в области </w:t>
      </w:r>
      <w:r w:rsidRPr="00C42610">
        <w:rPr>
          <w:b/>
        </w:rPr>
        <w:t>инвестиционной деятельности</w:t>
      </w:r>
      <w:r w:rsidRPr="00C42610">
        <w:t xml:space="preserve"> усилия администрации района будут направлены на масштабное изменение качества инвестиционной привлекательности района, мобилизацию имеющихся и привлечения новых инвестиционных ресурсов в реальный сектор для обеспечения необходимых темпов экономического роста.</w:t>
      </w:r>
      <w:r w:rsidRPr="00C42610">
        <w:tab/>
      </w:r>
      <w:proofErr w:type="gramStart"/>
      <w:r w:rsidRPr="00C42610">
        <w:t>Инвестиции в основной капитал за счет всех источников финансирования в 2014 г. ожидаются в  размере 510,3 млн. рублей, а  с учетом позитивных тенденций  составят в среднем не менее 1567,9-1599,9 млн. рублей в 2017 г. Инвестиции в экономику района прогнозируются с учетом планового уровня инфляции, тенденций в развитии предприятий и их финансовых возможностей.</w:t>
      </w:r>
      <w:proofErr w:type="gramEnd"/>
      <w:r w:rsidRPr="00C42610">
        <w:t xml:space="preserve"> Инвестиции в социальную сферу, особенно в сферу жилищно-коммунального хозяйства и жилищное строительство будут производиться с привлечением средств населения и кредитных ресурсов. </w:t>
      </w:r>
      <w:proofErr w:type="gramStart"/>
      <w:r w:rsidRPr="00C42610">
        <w:t>В прогнозируемом периоде 2015-2017 годов будут реализовываться следующие инвестпроекты с привлечением инвестиций в основной капитал более 1,4 млрд. руб.: организация производства продуктов лизина и сопутствующих кормовых продуктов (ЗАО «ЧувашАгроБио»); организация эффективного управления лесами и создание Центров развития высокотехнологичных производств по глубокой комплексной переработке древесины в Шумерлинском и Ибресинском районах Чувашской Республики (ООО «Экотехлес», ООО «Реал-Бизнес лес»);</w:t>
      </w:r>
      <w:proofErr w:type="gramEnd"/>
      <w:r w:rsidRPr="00C42610">
        <w:t xml:space="preserve"> производство сельскохозяйственной продукции раст</w:t>
      </w:r>
      <w:r w:rsidRPr="00C42610">
        <w:t>е</w:t>
      </w:r>
      <w:r w:rsidRPr="00C42610">
        <w:t>ниеводства на землях Юманайского, Егоркинского и Ходарского сельских поселений до 5000 га (ООО «Кеннет»), производство грибов шампиньонов ООО «Агропромгаз».</w:t>
      </w:r>
      <w:r>
        <w:t xml:space="preserve"> </w:t>
      </w:r>
    </w:p>
    <w:p w:rsidR="00C50693" w:rsidRPr="0074350E" w:rsidRDefault="00C50693" w:rsidP="00C50693">
      <w:pPr>
        <w:pStyle w:val="2"/>
        <w:ind w:firstLine="540"/>
      </w:pPr>
      <w:r w:rsidRPr="0074350E">
        <w:t xml:space="preserve">По-прежнему остается важнейшей задачей - реализация мероприятий </w:t>
      </w:r>
      <w:r>
        <w:t>муниципальных</w:t>
      </w:r>
      <w:r w:rsidRPr="0074350E">
        <w:t xml:space="preserve"> программ на территории района, которые являются наиболее эффективными инвестициями ввиду их безвозмездного предоставления.</w:t>
      </w:r>
    </w:p>
    <w:p w:rsidR="00C50693" w:rsidRDefault="00C50693" w:rsidP="00C50693">
      <w:pPr>
        <w:pStyle w:val="a3"/>
        <w:ind w:firstLine="567"/>
        <w:jc w:val="both"/>
        <w:rPr>
          <w:b/>
        </w:rPr>
      </w:pPr>
    </w:p>
    <w:p w:rsidR="00C50693" w:rsidRPr="00EA0A76" w:rsidRDefault="00C50693" w:rsidP="00C50693">
      <w:pPr>
        <w:pStyle w:val="msonospacing0"/>
        <w:spacing w:before="0" w:beforeAutospacing="0" w:after="0" w:afterAutospacing="0"/>
        <w:ind w:firstLine="567"/>
        <w:jc w:val="both"/>
      </w:pPr>
      <w:r w:rsidRPr="00EA0A76">
        <w:t xml:space="preserve">В </w:t>
      </w:r>
      <w:r w:rsidRPr="00C666E6">
        <w:rPr>
          <w:b/>
        </w:rPr>
        <w:t>консолидированный бюджет Шумерлинского района</w:t>
      </w:r>
      <w:r w:rsidRPr="00EA0A76">
        <w:t xml:space="preserve"> по состоянию на 01.10.2014г. поступило доходов в сумме </w:t>
      </w:r>
      <w:r w:rsidRPr="00EA0A76">
        <w:rPr>
          <w:b/>
        </w:rPr>
        <w:t>115 118,3</w:t>
      </w:r>
      <w:r w:rsidRPr="00EA0A76">
        <w:t xml:space="preserve"> тыс. рублей или 61,8% к прогнозу на 2014 год, что на 11,4% или на 11 758,4 тыс. рублей больше аналогичного периода прошлого года. </w:t>
      </w:r>
      <w:r w:rsidRPr="00EA0A76">
        <w:rPr>
          <w:b/>
          <w:i/>
        </w:rPr>
        <w:t>Налоговые и неналоговые доходы</w:t>
      </w:r>
      <w:r w:rsidRPr="00EA0A76">
        <w:t xml:space="preserve"> составили </w:t>
      </w:r>
      <w:r w:rsidRPr="00EA0A76">
        <w:rPr>
          <w:b/>
          <w:i/>
        </w:rPr>
        <w:t>22 333,3</w:t>
      </w:r>
      <w:r w:rsidRPr="00EA0A76">
        <w:t xml:space="preserve"> тыс. рублей (в 1,4 раза больше чем за аналогичный период прошлого года).</w:t>
      </w:r>
    </w:p>
    <w:p w:rsidR="00C50693" w:rsidRPr="00EA0A76" w:rsidRDefault="00C50693" w:rsidP="00C50693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EA0A76">
        <w:rPr>
          <w:rFonts w:ascii="Times New Roman" w:hAnsi="Times New Roman"/>
          <w:b/>
          <w:i/>
          <w:sz w:val="24"/>
          <w:szCs w:val="24"/>
        </w:rPr>
        <w:t>Собственные доходы</w:t>
      </w:r>
      <w:r w:rsidRPr="00EA0A76">
        <w:rPr>
          <w:rFonts w:ascii="Times New Roman" w:hAnsi="Times New Roman"/>
          <w:sz w:val="24"/>
          <w:szCs w:val="24"/>
        </w:rPr>
        <w:t xml:space="preserve"> в структуре доходов занимают 19,8% (</w:t>
      </w:r>
      <w:r w:rsidRPr="00EA0A76">
        <w:rPr>
          <w:rFonts w:ascii="Times New Roman" w:hAnsi="Times New Roman"/>
          <w:b/>
          <w:i/>
          <w:sz w:val="24"/>
          <w:szCs w:val="24"/>
        </w:rPr>
        <w:t>22 768,7</w:t>
      </w:r>
      <w:r w:rsidRPr="00EA0A76">
        <w:rPr>
          <w:rFonts w:ascii="Times New Roman" w:hAnsi="Times New Roman"/>
          <w:sz w:val="24"/>
          <w:szCs w:val="24"/>
        </w:rPr>
        <w:t xml:space="preserve"> тыс. рублей). Основная часть доходов местных бюджетов формируется в районном бюджете 15146,1 тыс</w:t>
      </w:r>
      <w:proofErr w:type="gramStart"/>
      <w:r w:rsidRPr="00EA0A76">
        <w:rPr>
          <w:rFonts w:ascii="Times New Roman" w:hAnsi="Times New Roman"/>
          <w:sz w:val="24"/>
          <w:szCs w:val="24"/>
        </w:rPr>
        <w:t>.р</w:t>
      </w:r>
      <w:proofErr w:type="gramEnd"/>
      <w:r w:rsidRPr="00EA0A76">
        <w:rPr>
          <w:rFonts w:ascii="Times New Roman" w:hAnsi="Times New Roman"/>
          <w:sz w:val="24"/>
          <w:szCs w:val="24"/>
        </w:rPr>
        <w:t xml:space="preserve">ублей, в бюджетах 11 сельских поселений -7622,6 тыс.рублей.  </w:t>
      </w:r>
    </w:p>
    <w:p w:rsidR="00C50693" w:rsidRPr="00EA0A76" w:rsidRDefault="00C50693" w:rsidP="00C50693">
      <w:pPr>
        <w:pStyle w:val="msonospacing0"/>
        <w:spacing w:before="0" w:beforeAutospacing="0" w:after="0" w:afterAutospacing="0"/>
        <w:ind w:firstLine="567"/>
        <w:jc w:val="both"/>
      </w:pPr>
      <w:proofErr w:type="gramStart"/>
      <w:r w:rsidRPr="00EA0A76">
        <w:t>Наибольший удельный вес в структуре собственных доходов занимают:  налог на доходы физических лиц – 40,9% или 9301,1 тыс. рублей, акцизы на нефтепродукты – 14,8%  или 3374,7 тыс. рублей, доходы от использования имущества, находящегося в муниципальной собственности – 8,4% или 1907,2 тыс. рублей, доходы от продажи материальных и нематериальных активов – 13,0% или  2949,7 тыс. рублей</w:t>
      </w:r>
      <w:proofErr w:type="gramEnd"/>
    </w:p>
    <w:p w:rsidR="00C50693" w:rsidRPr="00EA0A76" w:rsidRDefault="00C50693" w:rsidP="00C50693">
      <w:pPr>
        <w:pStyle w:val="msonospacing0"/>
        <w:spacing w:before="0" w:beforeAutospacing="0" w:after="0" w:afterAutospacing="0"/>
        <w:ind w:firstLine="567"/>
        <w:jc w:val="both"/>
      </w:pPr>
      <w:r w:rsidRPr="00EA0A76">
        <w:lastRenderedPageBreak/>
        <w:t>По сравнению с аналогичным периодом прошлого года поступление собственных доходов</w:t>
      </w:r>
      <w:r w:rsidRPr="00EA0A76">
        <w:rPr>
          <w:color w:val="FF0000"/>
        </w:rPr>
        <w:t xml:space="preserve"> </w:t>
      </w:r>
      <w:r w:rsidRPr="00EA0A76">
        <w:t>увеличилось в 1,4 раза за счет увеличения поступлений: единого сельскохозяйственного налога в 3,6 раза или на 205,1 тыс. рублей,  доходов от  оказания платных услуг (работ) и компенсации затрат государства – в 3,7 раза или на 865,0 тыс</w:t>
      </w:r>
      <w:proofErr w:type="gramStart"/>
      <w:r w:rsidRPr="00EA0A76">
        <w:t>.р</w:t>
      </w:r>
      <w:proofErr w:type="gramEnd"/>
      <w:r w:rsidRPr="00EA0A76">
        <w:t xml:space="preserve">ублей, доходов от использования имущества, находящегося в муниципальной собственности – в 1,1 раза или на 198,5 тыс. рублей, доходов от продажи материальных и нематериальных активов – в 1,9 раза или на 1395,7 тыс. рублей. В основном же рост собственных доходов связан с поступлением в 2014 году в консолидированный бюджет доходов от  уплаты акцизов на нефтепродукты и транспортного налога, </w:t>
      </w:r>
      <w:proofErr w:type="gramStart"/>
      <w:r w:rsidRPr="00EA0A76">
        <w:t>которое</w:t>
      </w:r>
      <w:proofErr w:type="gramEnd"/>
      <w:r w:rsidRPr="00EA0A76">
        <w:t xml:space="preserve"> составляет 3594,9 тыс. рублей.</w:t>
      </w:r>
    </w:p>
    <w:p w:rsidR="00C50693" w:rsidRDefault="00C50693" w:rsidP="00C50693">
      <w:pPr>
        <w:ind w:firstLine="567"/>
        <w:jc w:val="both"/>
        <w:rPr>
          <w:color w:val="000000"/>
        </w:rPr>
      </w:pPr>
      <w:r w:rsidRPr="00EA0A76">
        <w:t xml:space="preserve">Значительная часть доходов бюджета Шумерлинского района приходится на </w:t>
      </w:r>
      <w:r w:rsidRPr="00EA0A76">
        <w:rPr>
          <w:b/>
        </w:rPr>
        <w:t xml:space="preserve">налог на доходы физических лиц. </w:t>
      </w:r>
      <w:r w:rsidRPr="00EA0A76">
        <w:t xml:space="preserve"> За 9 месяцев 2014 года поступление по данному виду налога в консолидированный бюджет составило 9301,1 тыс</w:t>
      </w:r>
      <w:proofErr w:type="gramStart"/>
      <w:r w:rsidRPr="00EA0A76">
        <w:t>.р</w:t>
      </w:r>
      <w:proofErr w:type="gramEnd"/>
      <w:r w:rsidRPr="00EA0A76">
        <w:t>ублей или 72,2% к  прогнозу на 2014 год, что на  3,5%</w:t>
      </w:r>
      <w:r w:rsidRPr="00EA0A76">
        <w:rPr>
          <w:b/>
        </w:rPr>
        <w:t xml:space="preserve"> </w:t>
      </w:r>
      <w:r w:rsidRPr="00EA0A76">
        <w:t>или на 316,7 тыс.рублей</w:t>
      </w:r>
      <w:r w:rsidRPr="00EA0A76">
        <w:rPr>
          <w:b/>
        </w:rPr>
        <w:t xml:space="preserve"> </w:t>
      </w:r>
      <w:r w:rsidRPr="00EA0A76">
        <w:t xml:space="preserve">больше аналогичного периода  прошлого года.  </w:t>
      </w:r>
      <w:proofErr w:type="gramStart"/>
      <w:r w:rsidRPr="00EA0A76">
        <w:t>Необходимо учесть, что  изменен норматив</w:t>
      </w:r>
      <w:r w:rsidRPr="00EA0A76">
        <w:rPr>
          <w:color w:val="000000"/>
        </w:rPr>
        <w:t xml:space="preserve"> отчислений от налога на доходы физических лиц с распределением суммы налога, подлежащей зачислению в районный бюджет в размере - 5 процентов обязательных отчислений и 60,177 процента  дополнительных отчислений (в 2013г. соответственно – 10% и 68,511 %), то  есть  общий норматив отчислений в консолидированный бюджет уменьшился и составил 77,177% (65,177% – район и 12% - поселения).  </w:t>
      </w:r>
      <w:proofErr w:type="gramEnd"/>
    </w:p>
    <w:p w:rsidR="00C50693" w:rsidRPr="00EA0A76" w:rsidRDefault="00C50693" w:rsidP="00C50693">
      <w:pPr>
        <w:ind w:firstLine="567"/>
        <w:jc w:val="both"/>
        <w:rPr>
          <w:color w:val="000000"/>
        </w:rPr>
      </w:pPr>
      <w:r w:rsidRPr="00EA0A76">
        <w:rPr>
          <w:color w:val="000000"/>
        </w:rPr>
        <w:t>По налогу на доходы физических лиц, уплачиваемых бюджетными, казенными и автономными учреждениями, за 9 месяцев 2014 года наблюдается рост на 24,0% или на 1297,5 тыс</w:t>
      </w:r>
      <w:proofErr w:type="gramStart"/>
      <w:r w:rsidRPr="00EA0A76">
        <w:rPr>
          <w:color w:val="000000"/>
        </w:rPr>
        <w:t>.р</w:t>
      </w:r>
      <w:proofErr w:type="gramEnd"/>
      <w:r w:rsidRPr="00EA0A76">
        <w:rPr>
          <w:color w:val="000000"/>
        </w:rPr>
        <w:t xml:space="preserve">ублей к аналогичному периоду прошлого года. Увеличение поступлений стало следствием роста средней заработной платы педагогическим работникам, работникам учреждений культуры, увеличение минимального </w:t>
      </w:r>
      <w:proofErr w:type="gramStart"/>
      <w:r w:rsidRPr="00EA0A76">
        <w:rPr>
          <w:color w:val="000000"/>
        </w:rPr>
        <w:t>размера оплаты труда</w:t>
      </w:r>
      <w:proofErr w:type="gramEnd"/>
      <w:r w:rsidRPr="00EA0A76">
        <w:rPr>
          <w:color w:val="000000"/>
        </w:rPr>
        <w:t>. По группе налогоплательщиков субъектов малого предпринимательства, малых предприятий, предприятий агропромышленного комплекса также наблюдается рост поступлений к аналогичному периоду прошлого года на 18,3% или на 822,9 тыс</w:t>
      </w:r>
      <w:proofErr w:type="gramStart"/>
      <w:r w:rsidRPr="00EA0A76">
        <w:rPr>
          <w:color w:val="000000"/>
        </w:rPr>
        <w:t>.р</w:t>
      </w:r>
      <w:proofErr w:type="gramEnd"/>
      <w:r w:rsidRPr="00EA0A76">
        <w:rPr>
          <w:color w:val="000000"/>
        </w:rPr>
        <w:t>ублей.  На 01.10.2014 года был осуществлен возврат налога из бюджета в сумме 1173,0 тыс</w:t>
      </w:r>
      <w:proofErr w:type="gramStart"/>
      <w:r w:rsidRPr="00EA0A76">
        <w:rPr>
          <w:color w:val="000000"/>
        </w:rPr>
        <w:t>.р</w:t>
      </w:r>
      <w:proofErr w:type="gramEnd"/>
      <w:r w:rsidRPr="00EA0A76">
        <w:rPr>
          <w:color w:val="000000"/>
        </w:rPr>
        <w:t>ублей, что на 19% или  на 187,0 тыс. рублей больше аналогичного периода прошлого года в связи с предоставлением физическим лицам имущественных и социальных вычетов в соответствии с Налоговым кодексом РФ.</w:t>
      </w:r>
    </w:p>
    <w:p w:rsidR="00C50693" w:rsidRDefault="00C50693" w:rsidP="00C50693">
      <w:pPr>
        <w:pStyle w:val="af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EA0A76">
        <w:rPr>
          <w:rFonts w:ascii="Times New Roman" w:hAnsi="Times New Roman"/>
          <w:b/>
          <w:sz w:val="24"/>
          <w:szCs w:val="24"/>
        </w:rPr>
        <w:t>единому налогу на вмененный доход для определенных видов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716D">
        <w:rPr>
          <w:rFonts w:ascii="Times New Roman" w:hAnsi="Times New Roman"/>
          <w:sz w:val="24"/>
          <w:szCs w:val="24"/>
        </w:rPr>
        <w:t>за 9 месяцев 2014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716D">
        <w:rPr>
          <w:rFonts w:ascii="Times New Roman" w:hAnsi="Times New Roman"/>
          <w:sz w:val="24"/>
          <w:szCs w:val="24"/>
        </w:rPr>
        <w:t>поступило</w:t>
      </w:r>
      <w:r w:rsidRPr="00EA0A76">
        <w:rPr>
          <w:rFonts w:ascii="Times New Roman" w:hAnsi="Times New Roman"/>
          <w:b/>
          <w:sz w:val="24"/>
          <w:szCs w:val="24"/>
        </w:rPr>
        <w:t xml:space="preserve"> </w:t>
      </w:r>
      <w:r w:rsidRPr="00EA0A76">
        <w:rPr>
          <w:rFonts w:ascii="Times New Roman" w:hAnsi="Times New Roman"/>
          <w:sz w:val="24"/>
          <w:szCs w:val="24"/>
        </w:rPr>
        <w:t>на 138,9 тыс</w:t>
      </w:r>
      <w:proofErr w:type="gramStart"/>
      <w:r w:rsidRPr="00EA0A76">
        <w:rPr>
          <w:rFonts w:ascii="Times New Roman" w:hAnsi="Times New Roman"/>
          <w:sz w:val="24"/>
          <w:szCs w:val="24"/>
        </w:rPr>
        <w:t>.р</w:t>
      </w:r>
      <w:proofErr w:type="gramEnd"/>
      <w:r w:rsidRPr="00EA0A76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 xml:space="preserve"> больше</w:t>
      </w:r>
      <w:r w:rsidRPr="00EA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сравнении </w:t>
      </w:r>
      <w:r w:rsidRPr="00EA0A76">
        <w:rPr>
          <w:rFonts w:ascii="Times New Roman" w:hAnsi="Times New Roman"/>
          <w:sz w:val="24"/>
          <w:szCs w:val="24"/>
        </w:rPr>
        <w:t xml:space="preserve">с аналогичным периодом прошлого года, в связи с </w:t>
      </w:r>
      <w:r>
        <w:rPr>
          <w:rFonts w:ascii="Times New Roman" w:hAnsi="Times New Roman"/>
          <w:sz w:val="24"/>
          <w:szCs w:val="24"/>
        </w:rPr>
        <w:t xml:space="preserve">ежегодным увеличением </w:t>
      </w:r>
      <w:r w:rsidRPr="00EA0A76">
        <w:rPr>
          <w:rFonts w:ascii="Times New Roman" w:hAnsi="Times New Roman"/>
          <w:sz w:val="24"/>
          <w:szCs w:val="24"/>
        </w:rPr>
        <w:t>корректирующего коэффициента К1.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693" w:rsidRPr="00EA0A76" w:rsidRDefault="00C50693" w:rsidP="00C50693">
      <w:pPr>
        <w:ind w:firstLine="567"/>
        <w:jc w:val="both"/>
      </w:pPr>
      <w:r w:rsidRPr="00EA0A76">
        <w:rPr>
          <w:color w:val="000000"/>
        </w:rPr>
        <w:t xml:space="preserve">По </w:t>
      </w:r>
      <w:r w:rsidRPr="00EA0A76">
        <w:rPr>
          <w:b/>
          <w:color w:val="000000"/>
        </w:rPr>
        <w:t>единому сельскохозяйственному налогу</w:t>
      </w:r>
      <w:r w:rsidRPr="00EA0A76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EA0A76">
        <w:t>рост в 3,6 раза или на 205,1 тыс</w:t>
      </w:r>
      <w:proofErr w:type="gramStart"/>
      <w:r w:rsidRPr="00EA0A76">
        <w:t>.р</w:t>
      </w:r>
      <w:proofErr w:type="gramEnd"/>
      <w:r w:rsidRPr="00EA0A76">
        <w:t xml:space="preserve">ублей к </w:t>
      </w:r>
      <w:r>
        <w:t xml:space="preserve">соответствующему </w:t>
      </w:r>
      <w:r w:rsidRPr="00EA0A76">
        <w:t xml:space="preserve">периоду </w:t>
      </w:r>
      <w:r>
        <w:t>2013 года</w:t>
      </w:r>
      <w:r w:rsidRPr="00EA0A76">
        <w:t xml:space="preserve">, в том числе за счет поступления 170,0 тыс. рублей от СХПК «Комбинат» по акту проверки, проведенной Межрайонной ИФНС России № 8 по ЧР. </w:t>
      </w:r>
    </w:p>
    <w:p w:rsidR="00C50693" w:rsidRDefault="00C50693" w:rsidP="00C50693">
      <w:pPr>
        <w:ind w:firstLine="567"/>
        <w:jc w:val="both"/>
      </w:pPr>
      <w:r w:rsidRPr="00EA0A76">
        <w:rPr>
          <w:b/>
        </w:rPr>
        <w:t>Земельный налог</w:t>
      </w:r>
      <w:r w:rsidRPr="00EA0A76">
        <w:t xml:space="preserve"> поступил в сумме 1349,8 тыс. рублей, что на 9,7% больше в сравнении с аналогичным периодом прошлого года</w:t>
      </w:r>
      <w:r>
        <w:t>. Это объясняется</w:t>
      </w:r>
      <w:r w:rsidRPr="00EA0A76">
        <w:t xml:space="preserve"> приобретением и оформлением в собственность земельных участков.</w:t>
      </w:r>
    </w:p>
    <w:p w:rsidR="00C50693" w:rsidRPr="00EA0A76" w:rsidRDefault="00C50693" w:rsidP="00C50693">
      <w:pPr>
        <w:ind w:firstLine="567"/>
        <w:jc w:val="both"/>
      </w:pPr>
      <w:r>
        <w:t>На 01.10.2014 года н</w:t>
      </w:r>
      <w:r w:rsidRPr="00EA0A76">
        <w:t xml:space="preserve">аблюдается рост поступлений по </w:t>
      </w:r>
      <w:r w:rsidRPr="004E1C3B">
        <w:rPr>
          <w:b/>
        </w:rPr>
        <w:t>налогу на имущество физических лиц</w:t>
      </w:r>
      <w:r w:rsidRPr="00EA0A76">
        <w:t xml:space="preserve"> в 1,2 раза или на 51,0 тыс. ру</w:t>
      </w:r>
      <w:r>
        <w:t>блей</w:t>
      </w:r>
      <w:r w:rsidRPr="00EA0A76">
        <w:t xml:space="preserve">. Увеличение произошло за счет </w:t>
      </w:r>
      <w:r>
        <w:t>поступления авансовых платежей до наступления срока уплаты соответствующего налога.</w:t>
      </w:r>
    </w:p>
    <w:p w:rsidR="00C50693" w:rsidRDefault="00C50693" w:rsidP="00C50693">
      <w:pPr>
        <w:ind w:firstLine="567"/>
        <w:jc w:val="both"/>
      </w:pPr>
    </w:p>
    <w:p w:rsidR="00C50693" w:rsidRPr="00EA0A76" w:rsidRDefault="00C50693" w:rsidP="00C50693">
      <w:pPr>
        <w:ind w:firstLine="567"/>
        <w:jc w:val="both"/>
      </w:pPr>
      <w:r w:rsidRPr="00EA0A76">
        <w:t xml:space="preserve">Рост по </w:t>
      </w:r>
      <w:r w:rsidRPr="00EA0A76">
        <w:rPr>
          <w:b/>
        </w:rPr>
        <w:t xml:space="preserve">доходам </w:t>
      </w:r>
      <w:r>
        <w:rPr>
          <w:b/>
        </w:rPr>
        <w:t>о</w:t>
      </w:r>
      <w:r w:rsidRPr="00EA0A76">
        <w:rPr>
          <w:b/>
        </w:rPr>
        <w:t>т использования имущества, находящегося в государственной и муниципальной собственности</w:t>
      </w:r>
      <w:r w:rsidRPr="00EA0A76">
        <w:t xml:space="preserve"> на 11,6 % достигнут к аналогичному периоду прошлого года, в связи с изменением расчетов начисления арендной платы объектов недвижимости, то есть по рыночной стоимости. Темп  роста по</w:t>
      </w:r>
      <w:r w:rsidRPr="00EA0A76">
        <w:rPr>
          <w:b/>
        </w:rPr>
        <w:t xml:space="preserve"> доходам от продажи материальных и нематериальных активов </w:t>
      </w:r>
      <w:r w:rsidRPr="00EA0A76">
        <w:t>в 1,9  раза больше к аналогичному периоду прошлого года, или на 1395,7 тыс</w:t>
      </w:r>
      <w:proofErr w:type="gramStart"/>
      <w:r w:rsidRPr="00EA0A76">
        <w:t>.р</w:t>
      </w:r>
      <w:proofErr w:type="gramEnd"/>
      <w:r w:rsidRPr="00EA0A76">
        <w:t>ублей. Реализованы земельные участки ООО «Кеннет» на сумму 1 094,8 тыс</w:t>
      </w:r>
      <w:proofErr w:type="gramStart"/>
      <w:r w:rsidRPr="00EA0A76">
        <w:t>.р</w:t>
      </w:r>
      <w:proofErr w:type="gramEnd"/>
      <w:r w:rsidRPr="00EA0A76">
        <w:t xml:space="preserve">уб., гаражный бокс, автомобиль, школьный автобус на общую сумму 101,9 тыс.рублей. </w:t>
      </w:r>
    </w:p>
    <w:p w:rsidR="00C50693" w:rsidRPr="00EA0A76" w:rsidRDefault="00C50693" w:rsidP="00C50693">
      <w:pPr>
        <w:ind w:firstLine="567"/>
        <w:jc w:val="both"/>
      </w:pPr>
      <w:r w:rsidRPr="00EA0A76">
        <w:rPr>
          <w:b/>
        </w:rPr>
        <w:t>Плата за негативное воздействие на окружающую среду</w:t>
      </w:r>
      <w:r>
        <w:rPr>
          <w:b/>
        </w:rPr>
        <w:t xml:space="preserve"> </w:t>
      </w:r>
      <w:r w:rsidRPr="004E1C3B">
        <w:t>за 9 месяцев 2014 года</w:t>
      </w:r>
      <w:r>
        <w:rPr>
          <w:b/>
        </w:rPr>
        <w:t xml:space="preserve"> </w:t>
      </w:r>
      <w:r w:rsidRPr="00EA0A76">
        <w:rPr>
          <w:b/>
        </w:rPr>
        <w:t xml:space="preserve"> </w:t>
      </w:r>
      <w:r w:rsidRPr="00EA0A76">
        <w:t>поступила в сумме 126,9 тыс</w:t>
      </w:r>
      <w:proofErr w:type="gramStart"/>
      <w:r w:rsidRPr="00EA0A76">
        <w:t>.р</w:t>
      </w:r>
      <w:proofErr w:type="gramEnd"/>
      <w:r w:rsidRPr="00EA0A76">
        <w:t>ублей, снижение на 24,4 % к ана</w:t>
      </w:r>
      <w:r>
        <w:t>логичному периоду прошлого года объясняется</w:t>
      </w:r>
      <w:r w:rsidRPr="00EA0A76">
        <w:t xml:space="preserve"> несвоевременн</w:t>
      </w:r>
      <w:r>
        <w:t>ой</w:t>
      </w:r>
      <w:r w:rsidRPr="00EA0A76">
        <w:t xml:space="preserve"> оплат</w:t>
      </w:r>
      <w:r>
        <w:t>ой</w:t>
      </w:r>
      <w:r w:rsidRPr="00EA0A76">
        <w:t xml:space="preserve"> предприятиями и организациями данного вида дохода.      </w:t>
      </w:r>
    </w:p>
    <w:p w:rsidR="00C50693" w:rsidRPr="00EA0A76" w:rsidRDefault="00C50693" w:rsidP="00C50693">
      <w:pPr>
        <w:ind w:firstLine="567"/>
        <w:jc w:val="both"/>
      </w:pPr>
      <w:r w:rsidRPr="00EA0A76">
        <w:t>По</w:t>
      </w:r>
      <w:r>
        <w:t>-</w:t>
      </w:r>
      <w:r w:rsidRPr="00EA0A76">
        <w:t>прежнему остается значительн</w:t>
      </w:r>
      <w:r>
        <w:t>ой</w:t>
      </w:r>
      <w:r w:rsidRPr="00EA0A76">
        <w:t xml:space="preserve"> доля финансовой помощи в общей  структуре доходов бюджета муниципального образования</w:t>
      </w:r>
      <w:r w:rsidRPr="00EA0A76">
        <w:rPr>
          <w:color w:val="FF0000"/>
        </w:rPr>
        <w:t xml:space="preserve"> </w:t>
      </w:r>
      <w:r w:rsidRPr="00EA0A76">
        <w:t>(</w:t>
      </w:r>
      <w:r>
        <w:t>80,3</w:t>
      </w:r>
      <w:r w:rsidRPr="00EA0A76">
        <w:t>% -</w:t>
      </w:r>
      <w:r>
        <w:t xml:space="preserve"> </w:t>
      </w:r>
      <w:r w:rsidRPr="00EA0A76">
        <w:t xml:space="preserve">доля безвозмездных поступлений).  </w:t>
      </w:r>
      <w:r w:rsidRPr="00EA0A76">
        <w:rPr>
          <w:b/>
        </w:rPr>
        <w:t xml:space="preserve">Безвозмездные </w:t>
      </w:r>
      <w:r w:rsidRPr="00EA0A76">
        <w:rPr>
          <w:b/>
        </w:rPr>
        <w:lastRenderedPageBreak/>
        <w:t xml:space="preserve">поступления </w:t>
      </w:r>
      <w:r w:rsidRPr="00EA0A76">
        <w:t xml:space="preserve"> из республиканского бюджета  составили 92 460,7 тыс</w:t>
      </w:r>
      <w:proofErr w:type="gramStart"/>
      <w:r w:rsidRPr="00EA0A76">
        <w:t>.р</w:t>
      </w:r>
      <w:proofErr w:type="gramEnd"/>
      <w:r w:rsidRPr="00EA0A76">
        <w:t xml:space="preserve">ублей или 58,7% к прогнозу на 2014 год. </w:t>
      </w:r>
    </w:p>
    <w:p w:rsidR="00C50693" w:rsidRDefault="00C50693" w:rsidP="00C50693">
      <w:pPr>
        <w:ind w:right="-5" w:firstLine="567"/>
        <w:jc w:val="both"/>
      </w:pPr>
    </w:p>
    <w:p w:rsidR="00C50693" w:rsidRPr="00EA0A76" w:rsidRDefault="00C50693" w:rsidP="00C50693">
      <w:pPr>
        <w:ind w:right="-5" w:firstLine="567"/>
        <w:jc w:val="both"/>
      </w:pPr>
      <w:r w:rsidRPr="00EA0A76">
        <w:t xml:space="preserve">Расходы консолидированного бюджета Шумерлинского района составили </w:t>
      </w:r>
      <w:r w:rsidRPr="008E69F6">
        <w:rPr>
          <w:b/>
        </w:rPr>
        <w:t>114 836,5</w:t>
      </w:r>
      <w:r w:rsidRPr="00EA0A76">
        <w:t xml:space="preserve"> тыс. руб. или 61,</w:t>
      </w:r>
      <w:r>
        <w:t>3</w:t>
      </w:r>
      <w:r w:rsidRPr="00EA0A76">
        <w:t xml:space="preserve"> % к прогнозу на 2014 год, что в 1,2 раза больше аналогичного периода прошлого года. </w:t>
      </w:r>
    </w:p>
    <w:tbl>
      <w:tblPr>
        <w:tblW w:w="10047" w:type="dxa"/>
        <w:tblInd w:w="534" w:type="dxa"/>
        <w:tblLook w:val="00A0"/>
      </w:tblPr>
      <w:tblGrid>
        <w:gridCol w:w="3616"/>
        <w:gridCol w:w="1492"/>
        <w:gridCol w:w="1478"/>
        <w:gridCol w:w="1509"/>
        <w:gridCol w:w="1135"/>
        <w:gridCol w:w="817"/>
      </w:tblGrid>
      <w:tr w:rsidR="00C50693" w:rsidRPr="00EA0A76" w:rsidTr="0038363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  <w:p w:rsidR="00C50693" w:rsidRPr="00EA0A76" w:rsidRDefault="00C50693" w:rsidP="00383634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15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93" w:rsidRPr="00CB0E91" w:rsidRDefault="00C50693" w:rsidP="00383634">
            <w:pPr>
              <w:jc w:val="center"/>
              <w:rPr>
                <w:color w:val="000000"/>
              </w:rPr>
            </w:pPr>
            <w:r w:rsidRPr="00CB0E91">
              <w:rPr>
                <w:color w:val="000000"/>
              </w:rPr>
              <w:t>Наименование раздела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93" w:rsidRPr="00CB0E91" w:rsidRDefault="00C50693" w:rsidP="00383634">
            <w:pPr>
              <w:jc w:val="center"/>
              <w:rPr>
                <w:color w:val="000000"/>
              </w:rPr>
            </w:pPr>
            <w:r w:rsidRPr="00CB0E91">
              <w:rPr>
                <w:color w:val="000000"/>
              </w:rPr>
              <w:t>Бюджетные назначения (с учетом изменений), тыс. рублей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93" w:rsidRPr="00CB0E91" w:rsidRDefault="00C50693" w:rsidP="00383634">
            <w:pPr>
              <w:jc w:val="center"/>
              <w:rPr>
                <w:color w:val="000000"/>
              </w:rPr>
            </w:pPr>
            <w:r w:rsidRPr="00CB0E91">
              <w:rPr>
                <w:color w:val="000000"/>
              </w:rPr>
              <w:t>Кассовое исполнение, тыс. рублей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93" w:rsidRPr="00CB0E91" w:rsidRDefault="00C50693" w:rsidP="00383634">
            <w:pPr>
              <w:jc w:val="center"/>
              <w:rPr>
                <w:color w:val="000000"/>
              </w:rPr>
            </w:pPr>
            <w:r w:rsidRPr="00CB0E91">
              <w:rPr>
                <w:color w:val="000000"/>
              </w:rPr>
              <w:t>Отклонение, 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93" w:rsidRPr="00CB0E91" w:rsidRDefault="00C50693" w:rsidP="00383634">
            <w:pPr>
              <w:jc w:val="center"/>
              <w:rPr>
                <w:color w:val="000000"/>
              </w:rPr>
            </w:pPr>
            <w:r w:rsidRPr="00CB0E91">
              <w:rPr>
                <w:color w:val="000000"/>
              </w:rPr>
              <w:t xml:space="preserve">% </w:t>
            </w:r>
            <w:proofErr w:type="gramStart"/>
            <w:r w:rsidRPr="00CB0E91">
              <w:rPr>
                <w:color w:val="000000"/>
              </w:rPr>
              <w:t>исполне-ния</w:t>
            </w:r>
            <w:proofErr w:type="gramEnd"/>
            <w:r w:rsidRPr="00CB0E91">
              <w:rPr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rPr>
                <w:color w:val="000000"/>
              </w:rPr>
            </w:pPr>
            <w:r w:rsidRPr="00CB0E91">
              <w:rPr>
                <w:color w:val="000000"/>
              </w:rPr>
              <w:t>Общегосударственные расходы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31197,5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24815,9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6381,6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r w:rsidRPr="00CB0E91">
              <w:t>Национальная оборона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6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r w:rsidRPr="00CB0E91">
              <w:t>Национальная безопасность и      правоохранительная деятельность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1669,6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1059,1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r w:rsidRPr="00CB0E91">
              <w:t>Национальная экономика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24937,1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13276,4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36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r w:rsidRPr="00CB0E91">
              <w:t>Жилищно-коммунальное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36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r w:rsidRPr="00CB0E91">
              <w:t>Охрана окружающей среды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r w:rsidRPr="00CB0E91">
              <w:t>Образование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77624,1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61187,9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16436,2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r w:rsidRPr="00CB0E91">
              <w:t xml:space="preserve">Культура, кинематография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8226,6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6297,0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r w:rsidRPr="00CB0E91">
              <w:t>Социальная политика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20741,1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7038,6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13702,5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r w:rsidRPr="00CB0E91">
              <w:t>Физическая культура и спорт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6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r w:rsidRPr="00CB0E91">
              <w:t>Обслуживание государственного и муниципального долга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  <w:tr w:rsidR="00C50693" w:rsidRPr="00EA0A76" w:rsidTr="00383634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693" w:rsidRPr="00CB0E91" w:rsidRDefault="00C50693" w:rsidP="00383634">
            <w:pPr>
              <w:rPr>
                <w:color w:val="000000"/>
              </w:rPr>
            </w:pPr>
            <w:r w:rsidRPr="00CB0E91">
              <w:rPr>
                <w:color w:val="000000"/>
              </w:rPr>
              <w:t xml:space="preserve">Расходы </w:t>
            </w:r>
            <w:proofErr w:type="gramStart"/>
            <w:r w:rsidRPr="00CB0E91">
              <w:rPr>
                <w:color w:val="000000"/>
              </w:rPr>
              <w:t>-в</w:t>
            </w:r>
            <w:proofErr w:type="gramEnd"/>
            <w:r w:rsidRPr="00CB0E91">
              <w:rPr>
                <w:color w:val="000000"/>
              </w:rPr>
              <w:t>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187 494,5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114 836,5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72 658,0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693" w:rsidRPr="00CB0E91" w:rsidRDefault="00C50693" w:rsidP="00383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693" w:rsidRPr="00EA0A76" w:rsidRDefault="00C50693" w:rsidP="00383634">
            <w:pPr>
              <w:rPr>
                <w:color w:val="000000"/>
              </w:rPr>
            </w:pPr>
          </w:p>
        </w:tc>
      </w:tr>
    </w:tbl>
    <w:p w:rsidR="00C50693" w:rsidRDefault="00C50693" w:rsidP="00C50693">
      <w:pPr>
        <w:ind w:firstLine="567"/>
        <w:jc w:val="both"/>
      </w:pPr>
      <w:r w:rsidRPr="00EA0A76">
        <w:t>Социально-экономическое развитие Шумерлинского района в ближайшее время будет происходить в условиях обеспечения финансовых обязательств перед Министерством финансов Чувашской Республики в части погашения инвестиционного кредита. Это потребует от всех участников бюджетного процесса проведения еще более предсказуемой и ответственной бюджетной политики, направленной на достижение долгосрочной сбалансированности и устойчивости бюджетной системы Шумерлинского района. Так же для дальнейшего роста собственных доходов  Шумерлинского района и сельских поселений, необходимо  продолжить работу в рамках взаимодействия с территориальной налоговой службой  по увеличению доходов районного бюджета, по сокращению недоимки по налогам. В рамках этого направления</w:t>
      </w:r>
      <w:r>
        <w:t xml:space="preserve"> </w:t>
      </w:r>
      <w:r w:rsidRPr="00425C50">
        <w:rPr>
          <w:color w:val="000000"/>
        </w:rPr>
        <w:t xml:space="preserve">Постановлением администрации Шумерлинского района, была утверждена Межведомственная комиссия по вопросам повышения доходов консолидированного бюджета Шумерлинского района Чувашской Республики, своевременности и полноты выплаты заработной платы при главе администрации Шумерлинского района. </w:t>
      </w:r>
      <w:r w:rsidRPr="00425C50">
        <w:t xml:space="preserve"> </w:t>
      </w:r>
    </w:p>
    <w:p w:rsidR="00C50693" w:rsidRPr="00EA0A76" w:rsidRDefault="00C50693" w:rsidP="00C50693">
      <w:pPr>
        <w:ind w:firstLine="567"/>
        <w:jc w:val="both"/>
      </w:pPr>
      <w:r w:rsidRPr="00425C50">
        <w:t>Будет продолжена работа по выявлению отсутствующих  или недостоверных сведений о земельных участках,  и иных объектах недвижимого имущества и их правообладателях. Установлению  или уточнению категорий  или видов разрешенного использования земельных участков; адресов</w:t>
      </w:r>
      <w:r w:rsidRPr="00EA0A76">
        <w:t xml:space="preserve"> места нахождения земельных участков, зданий, помещений, сооружений. </w:t>
      </w:r>
      <w:proofErr w:type="gramStart"/>
      <w:r w:rsidRPr="00EA0A76">
        <w:t>Уточнению кадастровой (инвентаризационной) стоимости зданий, помещений, сооружений; по установлению правообладателей земельных участков, зданий, помещений, сооружений.</w:t>
      </w:r>
      <w:proofErr w:type="gramEnd"/>
    </w:p>
    <w:p w:rsidR="00C50693" w:rsidRPr="00AE4434" w:rsidRDefault="00C50693" w:rsidP="00C50693">
      <w:pPr>
        <w:pStyle w:val="msonospacing0"/>
        <w:spacing w:before="0" w:beforeAutospacing="0" w:after="0" w:afterAutospacing="0"/>
        <w:ind w:firstLine="539"/>
        <w:jc w:val="both"/>
        <w:rPr>
          <w:u w:val="single"/>
        </w:rPr>
      </w:pPr>
      <w:r w:rsidRPr="00AE4434">
        <w:rPr>
          <w:u w:val="single"/>
        </w:rPr>
        <w:t>Основные проблемы:</w:t>
      </w:r>
    </w:p>
    <w:p w:rsidR="00C50693" w:rsidRPr="00AE4434" w:rsidRDefault="00C50693" w:rsidP="00C50693">
      <w:pPr>
        <w:autoSpaceDE w:val="0"/>
        <w:autoSpaceDN w:val="0"/>
        <w:adjustRightInd w:val="0"/>
        <w:ind w:firstLine="539"/>
        <w:jc w:val="both"/>
      </w:pPr>
      <w:r w:rsidRPr="00AE4434">
        <w:t>1. Программа приватизации муниципального имущества в основном завершена.</w:t>
      </w:r>
    </w:p>
    <w:p w:rsidR="00C50693" w:rsidRPr="00AE4434" w:rsidRDefault="00C50693" w:rsidP="00C50693">
      <w:pPr>
        <w:ind w:firstLine="539"/>
        <w:jc w:val="both"/>
        <w:rPr>
          <w:b/>
        </w:rPr>
      </w:pPr>
      <w:r w:rsidRPr="00AE4434">
        <w:t>2.</w:t>
      </w:r>
      <w:r w:rsidRPr="00AE4434">
        <w:rPr>
          <w:lang w:val="en-US"/>
        </w:rPr>
        <w:t> </w:t>
      </w:r>
      <w:r w:rsidRPr="00AE4434">
        <w:t xml:space="preserve">Из-за сокращения собственных доходов возрастает зависимость от федерального бюджета и республиканского бюджета Чувашской Республики, что приводит к колебанию и нестабильности бюджета Шумерлинского района и накоплению проблем в социально-экономической сфере района. </w:t>
      </w:r>
    </w:p>
    <w:p w:rsidR="00C50693" w:rsidRPr="00AE4434" w:rsidRDefault="00C50693" w:rsidP="00C50693">
      <w:pPr>
        <w:pStyle w:val="msonospacing0"/>
        <w:spacing w:before="0" w:beforeAutospacing="0" w:after="0" w:afterAutospacing="0"/>
        <w:ind w:firstLine="539"/>
        <w:jc w:val="both"/>
        <w:rPr>
          <w:u w:val="single"/>
        </w:rPr>
      </w:pPr>
      <w:r w:rsidRPr="00AE4434">
        <w:rPr>
          <w:u w:val="single"/>
        </w:rPr>
        <w:lastRenderedPageBreak/>
        <w:t>Основные задачи на 2015-2017 годы:</w:t>
      </w:r>
    </w:p>
    <w:p w:rsidR="00C50693" w:rsidRPr="00AE4434" w:rsidRDefault="00C50693" w:rsidP="00C50693">
      <w:pPr>
        <w:autoSpaceDE w:val="0"/>
        <w:autoSpaceDN w:val="0"/>
        <w:adjustRightInd w:val="0"/>
        <w:ind w:firstLine="539"/>
        <w:jc w:val="both"/>
      </w:pPr>
      <w:r w:rsidRPr="00AE4434">
        <w:t xml:space="preserve">-наращивание и укрепление собственной доходной базы бюджета Шумерлинского района, в том числе за счет регулирования установления налоговых льгот; </w:t>
      </w:r>
    </w:p>
    <w:p w:rsidR="00C50693" w:rsidRPr="00AE4434" w:rsidRDefault="00C50693" w:rsidP="00C50693">
      <w:pPr>
        <w:pStyle w:val="msonospacing0"/>
        <w:spacing w:before="0" w:beforeAutospacing="0" w:after="0" w:afterAutospacing="0"/>
        <w:ind w:firstLine="539"/>
        <w:jc w:val="both"/>
      </w:pPr>
      <w:r w:rsidRPr="00AE4434">
        <w:t>-обеспечение сбалансированности и устойчивости бюджета Шумерлинского района:</w:t>
      </w:r>
      <w:r w:rsidRPr="00AE4434">
        <w:tab/>
      </w:r>
    </w:p>
    <w:p w:rsidR="00C50693" w:rsidRPr="00AE4434" w:rsidRDefault="00C50693" w:rsidP="00C50693">
      <w:pPr>
        <w:pStyle w:val="msonospacing0"/>
        <w:spacing w:before="0" w:beforeAutospacing="0" w:after="0" w:afterAutospacing="0"/>
        <w:ind w:firstLine="539"/>
        <w:jc w:val="both"/>
      </w:pPr>
      <w:r w:rsidRPr="00AE4434">
        <w:rPr>
          <w:lang w:val="en-US"/>
        </w:rPr>
        <w:t>a</w:t>
      </w:r>
      <w:r w:rsidRPr="00AE4434">
        <w:t xml:space="preserve">) </w:t>
      </w:r>
      <w:proofErr w:type="gramStart"/>
      <w:r w:rsidRPr="00AE4434">
        <w:t>повышение</w:t>
      </w:r>
      <w:proofErr w:type="gramEnd"/>
      <w:r w:rsidRPr="00AE4434">
        <w:t xml:space="preserve"> эффективности деятельности бюджетных и автономных учреждений Шумерлинского района в рамках перехода на новую форму финансирования; </w:t>
      </w:r>
    </w:p>
    <w:p w:rsidR="00C50693" w:rsidRPr="00AE4434" w:rsidRDefault="00C50693" w:rsidP="00C50693">
      <w:pPr>
        <w:pStyle w:val="msonospacing0"/>
        <w:spacing w:before="0" w:beforeAutospacing="0" w:after="0" w:afterAutospacing="0"/>
        <w:ind w:firstLine="539"/>
        <w:jc w:val="both"/>
      </w:pPr>
      <w:r w:rsidRPr="00AE4434">
        <w:t>б)</w:t>
      </w:r>
      <w:r w:rsidRPr="00AE4434">
        <w:rPr>
          <w:lang w:val="en-US"/>
        </w:rPr>
        <w:t> </w:t>
      </w:r>
      <w:r w:rsidRPr="00AE4434">
        <w:t xml:space="preserve">проведение активной работы с республиканскими органами государственной власти по привлечению средств из республиканского бюджета; </w:t>
      </w:r>
    </w:p>
    <w:p w:rsidR="00C50693" w:rsidRPr="00AE4434" w:rsidRDefault="00C50693" w:rsidP="00C50693">
      <w:pPr>
        <w:pStyle w:val="msonospacing0"/>
        <w:spacing w:before="0" w:beforeAutospacing="0" w:after="0" w:afterAutospacing="0"/>
        <w:ind w:firstLine="539"/>
        <w:jc w:val="both"/>
      </w:pPr>
      <w:r w:rsidRPr="00AE4434">
        <w:t>-повышение эффективности и результативности расходования бюджетных сре</w:t>
      </w:r>
      <w:proofErr w:type="gramStart"/>
      <w:r w:rsidRPr="00AE4434">
        <w:t>дств в с</w:t>
      </w:r>
      <w:proofErr w:type="gramEnd"/>
      <w:r w:rsidRPr="00AE4434">
        <w:t>оответствии с утвержденными муниципальными программами Шумерлинского района.</w:t>
      </w:r>
    </w:p>
    <w:p w:rsidR="00C50693" w:rsidRDefault="00C50693" w:rsidP="00C50693">
      <w:pPr>
        <w:ind w:firstLine="720"/>
        <w:jc w:val="both"/>
      </w:pPr>
    </w:p>
    <w:p w:rsidR="00C50693" w:rsidRPr="00141BA1" w:rsidRDefault="00C50693" w:rsidP="00C50693">
      <w:pPr>
        <w:ind w:firstLine="720"/>
        <w:jc w:val="both"/>
      </w:pPr>
      <w:r w:rsidRPr="00141BA1">
        <w:t>В 201</w:t>
      </w:r>
      <w:r>
        <w:t>3</w:t>
      </w:r>
      <w:r w:rsidRPr="00141BA1">
        <w:t xml:space="preserve"> году наблюдается спад вводимой жилой  площади в жилых домах, построенных за счет всех источников финансирования на территории Шумерлинского района, до </w:t>
      </w:r>
      <w:r>
        <w:t>4,62</w:t>
      </w:r>
      <w:r w:rsidRPr="00141BA1">
        <w:t xml:space="preserve"> тыс. кв. метров в связи с естественной убылью населения, миграцией.  В 201</w:t>
      </w:r>
      <w:r>
        <w:t>5</w:t>
      </w:r>
      <w:r w:rsidRPr="00141BA1">
        <w:t>-201</w:t>
      </w:r>
      <w:r>
        <w:t>7</w:t>
      </w:r>
      <w:r w:rsidRPr="00141BA1">
        <w:t xml:space="preserve"> годах запланирован рост </w:t>
      </w:r>
      <w:r w:rsidRPr="00141BA1">
        <w:rPr>
          <w:b/>
        </w:rPr>
        <w:t>жилищного строительства</w:t>
      </w:r>
      <w:r w:rsidRPr="00141BA1">
        <w:t>. В прогнозируемом периоде будет продолжено строительство жилых домов в д. Шумерля Шумерлинского района.</w:t>
      </w:r>
    </w:p>
    <w:p w:rsidR="00C50693" w:rsidRDefault="00C50693" w:rsidP="00C50693">
      <w:pPr>
        <w:ind w:firstLine="540"/>
        <w:jc w:val="both"/>
      </w:pPr>
    </w:p>
    <w:p w:rsidR="00C50693" w:rsidRPr="0074350E" w:rsidRDefault="00C50693" w:rsidP="00C50693">
      <w:pPr>
        <w:ind w:firstLine="540"/>
        <w:jc w:val="both"/>
      </w:pPr>
      <w:r w:rsidRPr="0074350E">
        <w:t xml:space="preserve">Одним из значительных и перспективных резервов развития экономики в Шумерлинском районе является </w:t>
      </w:r>
      <w:r w:rsidRPr="0074350E">
        <w:rPr>
          <w:b/>
        </w:rPr>
        <w:t>малое предпринимательство</w:t>
      </w:r>
      <w:r w:rsidRPr="0074350E">
        <w:t>.</w:t>
      </w:r>
    </w:p>
    <w:p w:rsidR="00C50693" w:rsidRPr="0074350E" w:rsidRDefault="00C50693" w:rsidP="00C50693">
      <w:pPr>
        <w:ind w:firstLine="540"/>
        <w:jc w:val="both"/>
      </w:pPr>
      <w:r w:rsidRPr="0074350E">
        <w:tab/>
        <w:t>Развитие малого бизнеса в районе в течение 201</w:t>
      </w:r>
      <w:r>
        <w:t>5</w:t>
      </w:r>
      <w:r w:rsidRPr="0074350E">
        <w:t>–201</w:t>
      </w:r>
      <w:r>
        <w:t>7</w:t>
      </w:r>
      <w:r w:rsidRPr="0074350E">
        <w:t xml:space="preserve"> годов предполагает увеличение обще</w:t>
      </w:r>
      <w:r>
        <w:t>го количества малых предприятий</w:t>
      </w:r>
      <w:r w:rsidRPr="0074350E">
        <w:t>. В 201</w:t>
      </w:r>
      <w:r>
        <w:t>5</w:t>
      </w:r>
      <w:r w:rsidRPr="0074350E">
        <w:t>–201</w:t>
      </w:r>
      <w:r>
        <w:t xml:space="preserve">7 годах продолжится </w:t>
      </w:r>
      <w:r w:rsidRPr="0074350E">
        <w:t>оказание организационной, консультационной и финансовой поддержки.</w:t>
      </w:r>
    </w:p>
    <w:p w:rsidR="00C50693" w:rsidRDefault="00C50693" w:rsidP="00C50693">
      <w:pPr>
        <w:ind w:firstLine="540"/>
        <w:jc w:val="both"/>
      </w:pPr>
      <w:r w:rsidRPr="00BC1B8B">
        <w:t xml:space="preserve">По состоянию на  1 </w:t>
      </w:r>
      <w:r>
        <w:t>января</w:t>
      </w:r>
      <w:r w:rsidRPr="00BC1B8B">
        <w:t xml:space="preserve"> 201</w:t>
      </w:r>
      <w:r>
        <w:t>4</w:t>
      </w:r>
      <w:r w:rsidRPr="00BC1B8B">
        <w:t xml:space="preserve"> г</w:t>
      </w:r>
      <w:r>
        <w:t>ода</w:t>
      </w:r>
      <w:r w:rsidRPr="00BC1B8B">
        <w:t xml:space="preserve"> в Шумерлинском районе действ</w:t>
      </w:r>
      <w:r>
        <w:t>овали</w:t>
      </w:r>
      <w:r w:rsidRPr="00BC1B8B">
        <w:t xml:space="preserve"> </w:t>
      </w:r>
      <w:r>
        <w:t>259</w:t>
      </w:r>
      <w:r w:rsidRPr="00BC1B8B">
        <w:t xml:space="preserve"> субъект</w:t>
      </w:r>
      <w:r>
        <w:t>ов</w:t>
      </w:r>
      <w:r w:rsidRPr="00BC1B8B">
        <w:t xml:space="preserve"> малого предпринимательства, из них: 41 малое предприятие и  </w:t>
      </w:r>
      <w:r>
        <w:t>218</w:t>
      </w:r>
      <w:r w:rsidRPr="00BC1B8B">
        <w:t xml:space="preserve"> индивидуальных предпринимателя. </w:t>
      </w:r>
      <w:r>
        <w:t>По оценке к 2014 году количество малых предприятий останется на том же уровне. П</w:t>
      </w:r>
      <w:r w:rsidRPr="0074350E">
        <w:t>о прогнозу к 201</w:t>
      </w:r>
      <w:r>
        <w:t>7</w:t>
      </w:r>
      <w:r w:rsidRPr="0074350E">
        <w:t xml:space="preserve"> году </w:t>
      </w:r>
      <w:r>
        <w:t>количество действующих малых предприятий составит</w:t>
      </w:r>
      <w:r w:rsidRPr="0074350E">
        <w:t xml:space="preserve">  </w:t>
      </w:r>
      <w:r>
        <w:t>43-44</w:t>
      </w:r>
      <w:r w:rsidRPr="0074350E">
        <w:t xml:space="preserve"> единиц</w:t>
      </w:r>
      <w:r>
        <w:t>ы</w:t>
      </w:r>
      <w:r w:rsidRPr="0074350E">
        <w:t xml:space="preserve"> и увеличится по сравнению с 201</w:t>
      </w:r>
      <w:r>
        <w:t>2</w:t>
      </w:r>
      <w:r w:rsidRPr="0074350E">
        <w:t xml:space="preserve"> годом на </w:t>
      </w:r>
      <w:r>
        <w:t>2-3</w:t>
      </w:r>
      <w:r w:rsidRPr="0074350E">
        <w:t xml:space="preserve"> единиц</w:t>
      </w:r>
      <w:r>
        <w:t>ы</w:t>
      </w:r>
      <w:r w:rsidRPr="0074350E">
        <w:t>. Среднесписочная численность работников на малых предприятиях за 201</w:t>
      </w:r>
      <w:r>
        <w:t>3</w:t>
      </w:r>
      <w:r w:rsidRPr="0074350E">
        <w:t xml:space="preserve"> год - 424 человека, по прогнозу к 201</w:t>
      </w:r>
      <w:r>
        <w:t>7</w:t>
      </w:r>
      <w:r w:rsidRPr="0074350E">
        <w:t xml:space="preserve"> году увеличится до </w:t>
      </w:r>
      <w:r>
        <w:t>432-435</w:t>
      </w:r>
      <w:r w:rsidRPr="0074350E">
        <w:t xml:space="preserve"> чел</w:t>
      </w:r>
      <w:r>
        <w:t>овек.</w:t>
      </w:r>
      <w:r w:rsidRPr="0074350E">
        <w:t xml:space="preserve"> Вследствие увеличения количества малых предприятий и повышения эффективности их деятельности оборот малых предприятий в 201</w:t>
      </w:r>
      <w:r>
        <w:t>7</w:t>
      </w:r>
      <w:r w:rsidRPr="0074350E">
        <w:t xml:space="preserve"> году по прогнозу </w:t>
      </w:r>
      <w:r>
        <w:t xml:space="preserve">увеличится и </w:t>
      </w:r>
      <w:r w:rsidRPr="0074350E">
        <w:t>составит 0,</w:t>
      </w:r>
      <w:r>
        <w:t>223</w:t>
      </w:r>
      <w:r w:rsidRPr="0074350E">
        <w:t>-0,</w:t>
      </w:r>
      <w:r>
        <w:t>224</w:t>
      </w:r>
      <w:r w:rsidRPr="0074350E">
        <w:t xml:space="preserve">  млрд</w:t>
      </w:r>
      <w:r>
        <w:t>. руб.</w:t>
      </w:r>
      <w:r w:rsidRPr="0074350E">
        <w:t xml:space="preserve"> </w:t>
      </w:r>
    </w:p>
    <w:p w:rsidR="00C50693" w:rsidRDefault="00C50693" w:rsidP="00C50693">
      <w:pPr>
        <w:ind w:firstLine="540"/>
        <w:jc w:val="both"/>
      </w:pPr>
      <w:r w:rsidRPr="00BC1B8B">
        <w:t xml:space="preserve">Структура малого бизнеса на территории Шумерлинского района по видам экономической деятельности характеризуется преобладанием розничной торговли и общественного питания (доля </w:t>
      </w:r>
      <w:proofErr w:type="gramStart"/>
      <w:r w:rsidRPr="00BC1B8B">
        <w:t>предприятий, работающих в этой сфере составляет</w:t>
      </w:r>
      <w:proofErr w:type="gramEnd"/>
      <w:r w:rsidRPr="00BC1B8B">
        <w:t xml:space="preserve"> 31,7 %) и сферы сельского хозяйства (в этой области работает 34,1 % малых предприятий). В строительстве занято – 9,8%.</w:t>
      </w:r>
    </w:p>
    <w:p w:rsidR="00C50693" w:rsidRPr="0074350E" w:rsidRDefault="00C50693" w:rsidP="00C50693">
      <w:pPr>
        <w:ind w:firstLine="540"/>
        <w:jc w:val="both"/>
      </w:pPr>
    </w:p>
    <w:p w:rsidR="00C50693" w:rsidRDefault="00C50693" w:rsidP="00C50693">
      <w:pPr>
        <w:ind w:firstLine="540"/>
        <w:jc w:val="both"/>
      </w:pPr>
      <w:r w:rsidRPr="0074350E">
        <w:t xml:space="preserve">На </w:t>
      </w:r>
      <w:r>
        <w:t xml:space="preserve">1 января 2014 года на </w:t>
      </w:r>
      <w:r w:rsidRPr="0074350E">
        <w:t>территории района функционир</w:t>
      </w:r>
      <w:r>
        <w:t>овали 66</w:t>
      </w:r>
      <w:r w:rsidRPr="0074350E">
        <w:t xml:space="preserve"> торговых объектов, 9 объектов общественного питания, </w:t>
      </w:r>
      <w:r>
        <w:t>1</w:t>
      </w:r>
      <w:r w:rsidRPr="0074350E">
        <w:t xml:space="preserve"> пункт по оказанию бытовых услуг населению, </w:t>
      </w:r>
      <w:r>
        <w:t>2</w:t>
      </w:r>
      <w:r w:rsidRPr="0074350E">
        <w:t xml:space="preserve"> АЗС. </w:t>
      </w:r>
      <w:r w:rsidRPr="00327513">
        <w:t xml:space="preserve">Субъекты малого бизнеса строят торговые площади, расширяют сферу потребительского рынка, обновляют производственную базу. В </w:t>
      </w:r>
      <w:r>
        <w:t>2014 году</w:t>
      </w:r>
      <w:r w:rsidRPr="00327513">
        <w:t xml:space="preserve"> на территории района был</w:t>
      </w:r>
      <w:r>
        <w:t>и</w:t>
      </w:r>
      <w:r w:rsidRPr="00327513">
        <w:t xml:space="preserve"> введен</w:t>
      </w:r>
      <w:r>
        <w:t>ы</w:t>
      </w:r>
      <w:r w:rsidRPr="00327513">
        <w:t xml:space="preserve"> в эксплуатацию </w:t>
      </w:r>
      <w:r>
        <w:t xml:space="preserve">новые </w:t>
      </w:r>
      <w:r w:rsidRPr="00327513">
        <w:t>объект</w:t>
      </w:r>
      <w:r>
        <w:t>ы</w:t>
      </w:r>
      <w:r w:rsidRPr="00327513">
        <w:t xml:space="preserve"> потребительского рынка - магазин в д. </w:t>
      </w:r>
      <w:r>
        <w:t xml:space="preserve">Шумерля и АЗС </w:t>
      </w:r>
      <w:proofErr w:type="gramStart"/>
      <w:r>
        <w:t>в</w:t>
      </w:r>
      <w:proofErr w:type="gramEnd"/>
      <w:r>
        <w:t xml:space="preserve"> с. Большие Алгаши. Общий объем инвестиций по данным объектам  составил – 4,59 млн. рублей, создано 5 рабочих мест.</w:t>
      </w:r>
    </w:p>
    <w:p w:rsidR="00C50693" w:rsidRPr="000A265A" w:rsidRDefault="00C50693" w:rsidP="00C50693">
      <w:pPr>
        <w:ind w:firstLine="858"/>
        <w:jc w:val="both"/>
      </w:pPr>
      <w:r>
        <w:t>Ф</w:t>
      </w:r>
      <w:r w:rsidRPr="000A265A">
        <w:t>актическая обеспеченность населения площадью торговых объектов по состоянию на 01.01.201</w:t>
      </w:r>
      <w:r>
        <w:t>4</w:t>
      </w:r>
      <w:r w:rsidRPr="000A265A">
        <w:t xml:space="preserve"> г., кв</w:t>
      </w:r>
      <w:proofErr w:type="gramStart"/>
      <w:r w:rsidRPr="000A265A">
        <w:t>.м</w:t>
      </w:r>
      <w:proofErr w:type="gramEnd"/>
      <w:r w:rsidRPr="000A265A">
        <w:t xml:space="preserve"> на 1 тыс.чел.:</w:t>
      </w:r>
      <w:r>
        <w:t xml:space="preserve"> </w:t>
      </w:r>
      <w:r w:rsidRPr="000A265A">
        <w:t>в целом по  району – 23</w:t>
      </w:r>
      <w:r>
        <w:t>1,4</w:t>
      </w:r>
      <w:r w:rsidRPr="000A265A">
        <w:t>, что составляет 10</w:t>
      </w:r>
      <w:r>
        <w:t>1</w:t>
      </w:r>
      <w:r w:rsidRPr="000A265A">
        <w:t>,</w:t>
      </w:r>
      <w:r>
        <w:t>1</w:t>
      </w:r>
      <w:r w:rsidRPr="000A265A">
        <w:t xml:space="preserve"> % от суммарного норматива минимальной обеспеченности населения по району (229), утвержденного Постановлением КМ ЧР от 11.07.2012 г. № 280;</w:t>
      </w:r>
      <w:r>
        <w:t xml:space="preserve"> в т.ч. </w:t>
      </w:r>
      <w:r w:rsidRPr="000A265A">
        <w:t xml:space="preserve"> продовольственными товарами – </w:t>
      </w:r>
      <w:r>
        <w:t>72,1</w:t>
      </w:r>
      <w:r w:rsidRPr="000A265A">
        <w:t xml:space="preserve"> (70 – норматив минимальной обеспеченности населения по району);</w:t>
      </w:r>
      <w:r>
        <w:t xml:space="preserve"> </w:t>
      </w:r>
      <w:r w:rsidRPr="000A265A">
        <w:t xml:space="preserve"> непродовольственными товарами – 159,</w:t>
      </w:r>
      <w:r>
        <w:t>3</w:t>
      </w:r>
      <w:r w:rsidRPr="000A265A">
        <w:t xml:space="preserve"> (159 – норматив минимальной обеспеченности населения по району).</w:t>
      </w:r>
    </w:p>
    <w:p w:rsidR="00C50693" w:rsidRPr="00FE42DF" w:rsidRDefault="00C50693" w:rsidP="00C50693">
      <w:pPr>
        <w:ind w:firstLine="540"/>
        <w:jc w:val="both"/>
      </w:pPr>
      <w:bookmarkStart w:id="0" w:name="_Toc262315471"/>
      <w:r w:rsidRPr="00FE42DF">
        <w:t xml:space="preserve">Потребительская кооперация - важная социальная структура, обеспечивающая сельское население товарами, закупающая излишки сельхозпродукции у владельцев подворий. Магазины Аликовского РАЙПО Чувашпотребсоюза в сельской местности являются центрами общественной жизни для многих населенных пунктов. Их в районе по состоянию на </w:t>
      </w:r>
      <w:r>
        <w:t xml:space="preserve">1 января </w:t>
      </w:r>
      <w:r w:rsidRPr="00FE42DF">
        <w:t>201</w:t>
      </w:r>
      <w:r>
        <w:t xml:space="preserve">4 </w:t>
      </w:r>
      <w:r w:rsidRPr="00FE42DF">
        <w:t>г</w:t>
      </w:r>
      <w:r>
        <w:t>ода</w:t>
      </w:r>
      <w:r w:rsidRPr="00FE42DF">
        <w:t xml:space="preserve"> - 22. </w:t>
      </w:r>
      <w:bookmarkEnd w:id="0"/>
    </w:p>
    <w:p w:rsidR="00C50693" w:rsidRDefault="00C50693" w:rsidP="00C50693">
      <w:pPr>
        <w:tabs>
          <w:tab w:val="left" w:pos="2070"/>
        </w:tabs>
        <w:ind w:firstLine="540"/>
        <w:jc w:val="both"/>
      </w:pPr>
      <w:proofErr w:type="gramStart"/>
      <w:r w:rsidRPr="0074350E">
        <w:t xml:space="preserve">Усиление стимулирующей роли зарплаты и дальнейшее повышение ее уровня будут способствовать росту </w:t>
      </w:r>
      <w:r w:rsidRPr="00D32614">
        <w:rPr>
          <w:b/>
        </w:rPr>
        <w:t>оборота розничной торговли</w:t>
      </w:r>
      <w:r w:rsidRPr="0074350E">
        <w:t xml:space="preserve"> и в целом повышению уровня жизни населения района</w:t>
      </w:r>
      <w:r>
        <w:t>, индекс физического объема  оборота розничной торговли в 2013 году составил 100,7 %</w:t>
      </w:r>
      <w:r w:rsidRPr="0074350E">
        <w:t xml:space="preserve">. По </w:t>
      </w:r>
      <w:r w:rsidRPr="0074350E">
        <w:lastRenderedPageBreak/>
        <w:t>оценке 201</w:t>
      </w:r>
      <w:r>
        <w:t>4</w:t>
      </w:r>
      <w:r w:rsidRPr="0074350E">
        <w:t xml:space="preserve"> года объем розничного товарооборота </w:t>
      </w:r>
      <w:r>
        <w:t xml:space="preserve"> организаций, не относящихся к субъектам малого предпринимательства, </w:t>
      </w:r>
      <w:r w:rsidRPr="0074350E">
        <w:t xml:space="preserve">составит </w:t>
      </w:r>
      <w:r>
        <w:t>78,37</w:t>
      </w:r>
      <w:r w:rsidRPr="0074350E">
        <w:t xml:space="preserve"> млн. рублей.</w:t>
      </w:r>
      <w:proofErr w:type="gramEnd"/>
      <w:r w:rsidRPr="0074350E">
        <w:t xml:space="preserve"> В  201</w:t>
      </w:r>
      <w:r>
        <w:t>7</w:t>
      </w:r>
      <w:r w:rsidRPr="0074350E">
        <w:t xml:space="preserve"> году ожидаемый розничный товарооборот составит </w:t>
      </w:r>
      <w:r>
        <w:t>85,5-86,36</w:t>
      </w:r>
      <w:r w:rsidRPr="0074350E">
        <w:t xml:space="preserve"> млн. рублей, или </w:t>
      </w:r>
      <w:r>
        <w:t>100,04-100,33</w:t>
      </w:r>
      <w:r w:rsidRPr="0074350E">
        <w:t xml:space="preserve">% к предыдущему году в сопоставимых ценах.  </w:t>
      </w:r>
    </w:p>
    <w:p w:rsidR="00C50693" w:rsidRPr="0074350E" w:rsidRDefault="00C50693" w:rsidP="00C50693">
      <w:pPr>
        <w:tabs>
          <w:tab w:val="left" w:pos="2070"/>
        </w:tabs>
        <w:ind w:firstLine="540"/>
        <w:jc w:val="both"/>
      </w:pPr>
      <w:r w:rsidRPr="0074350E">
        <w:t>Объем платных услуг населению по оценке 201</w:t>
      </w:r>
      <w:r>
        <w:t>4</w:t>
      </w:r>
      <w:r w:rsidRPr="0074350E">
        <w:t xml:space="preserve"> года составит </w:t>
      </w:r>
      <w:r>
        <w:t xml:space="preserve">56,12 </w:t>
      </w:r>
      <w:r w:rsidRPr="0074350E">
        <w:t xml:space="preserve"> млн. рублей, или </w:t>
      </w:r>
      <w:r>
        <w:t>95,35</w:t>
      </w:r>
      <w:r w:rsidRPr="0074350E">
        <w:t xml:space="preserve"> % к уровню 201</w:t>
      </w:r>
      <w:r>
        <w:t>3</w:t>
      </w:r>
      <w:r w:rsidRPr="0074350E">
        <w:t xml:space="preserve"> года в сопоставимых ценах.</w:t>
      </w:r>
    </w:p>
    <w:p w:rsidR="00C50693" w:rsidRPr="0074350E" w:rsidRDefault="00C50693" w:rsidP="00C50693">
      <w:pPr>
        <w:ind w:firstLine="540"/>
        <w:jc w:val="both"/>
      </w:pPr>
      <w:r w:rsidRPr="0074350E">
        <w:t xml:space="preserve">По оценочным расчетам объем </w:t>
      </w:r>
      <w:r w:rsidRPr="00D32614">
        <w:rPr>
          <w:b/>
        </w:rPr>
        <w:t>оборота общественного питания</w:t>
      </w:r>
      <w:r w:rsidRPr="0074350E">
        <w:t xml:space="preserve"> составит в 201</w:t>
      </w:r>
      <w:r>
        <w:t>4</w:t>
      </w:r>
      <w:r w:rsidRPr="0074350E">
        <w:t xml:space="preserve"> году </w:t>
      </w:r>
      <w:r>
        <w:t xml:space="preserve">3,3 </w:t>
      </w:r>
      <w:r w:rsidRPr="0074350E">
        <w:t>млн. рублей. Ожидаемый объем общественного питания в 201</w:t>
      </w:r>
      <w:r>
        <w:t>7</w:t>
      </w:r>
      <w:r w:rsidRPr="0074350E">
        <w:t xml:space="preserve"> году составит </w:t>
      </w:r>
      <w:r>
        <w:t>4,5-4,55</w:t>
      </w:r>
      <w:r w:rsidRPr="0074350E">
        <w:t xml:space="preserve"> млн. рублей, или </w:t>
      </w:r>
      <w:r>
        <w:t>101,94-102,82</w:t>
      </w:r>
      <w:r w:rsidRPr="0074350E">
        <w:t xml:space="preserve"> % к предыдущему году в сопоставимых ценах.</w:t>
      </w:r>
    </w:p>
    <w:p w:rsidR="00C50693" w:rsidRPr="0074350E" w:rsidRDefault="00C50693" w:rsidP="00C50693">
      <w:pPr>
        <w:ind w:firstLine="540"/>
        <w:jc w:val="both"/>
      </w:pPr>
      <w:r w:rsidRPr="0074350E">
        <w:rPr>
          <w:b/>
        </w:rPr>
        <w:t xml:space="preserve">Развитие отраслей социальной сферы. </w:t>
      </w:r>
      <w:r w:rsidRPr="0074350E">
        <w:t>Основной целью социальной политики в районе в 201</w:t>
      </w:r>
      <w:r>
        <w:t>4</w:t>
      </w:r>
      <w:r w:rsidRPr="0074350E">
        <w:t>-201</w:t>
      </w:r>
      <w:r>
        <w:t>7</w:t>
      </w:r>
      <w:r w:rsidRPr="0074350E">
        <w:t xml:space="preserve"> годах будет оставаться повышение качества жизни людей.</w:t>
      </w:r>
    </w:p>
    <w:p w:rsidR="00C50693" w:rsidRPr="00B41472" w:rsidRDefault="00C50693" w:rsidP="00C50693">
      <w:pPr>
        <w:ind w:firstLine="540"/>
        <w:jc w:val="both"/>
      </w:pPr>
      <w:r w:rsidRPr="00B41472">
        <w:rPr>
          <w:b/>
        </w:rPr>
        <w:t xml:space="preserve">Занятость населения. </w:t>
      </w:r>
      <w:r w:rsidRPr="00B41472">
        <w:t>Численность экономически активного населения за 2013 год составляла 5,</w:t>
      </w:r>
      <w:r>
        <w:t>491</w:t>
      </w:r>
      <w:r w:rsidRPr="00B41472">
        <w:t xml:space="preserve"> тыс. человек, по оценке 2014 года – 5,</w:t>
      </w:r>
      <w:r>
        <w:t>398</w:t>
      </w:r>
      <w:r w:rsidRPr="00B41472">
        <w:t xml:space="preserve"> тыс. человек. По прогнозу численность трудовых ресурсов уменьшится и составит за 2017 год </w:t>
      </w:r>
      <w:r>
        <w:t xml:space="preserve">около </w:t>
      </w:r>
      <w:r w:rsidRPr="00B41472">
        <w:t>5,</w:t>
      </w:r>
      <w:r>
        <w:t>156</w:t>
      </w:r>
      <w:r w:rsidRPr="00B41472">
        <w:t xml:space="preserve">  тыс. человек, по причине сохраняющейся тенденции естественной убыли населения. Среднегодовая численность занятых в экономике составит к 2018 году около 1,</w:t>
      </w:r>
      <w:r>
        <w:t>392</w:t>
      </w:r>
      <w:r w:rsidRPr="00B41472">
        <w:t xml:space="preserve"> тыс. человек.  Уровень зарегистрированной безработицы по оценке 2014 года составит 0,</w:t>
      </w:r>
      <w:r>
        <w:t>43</w:t>
      </w:r>
      <w:r w:rsidRPr="00B41472">
        <w:t>%, в 2017 году ожидается снижение около 0,30</w:t>
      </w:r>
      <w:r>
        <w:t xml:space="preserve"> </w:t>
      </w:r>
      <w:r w:rsidRPr="00B41472">
        <w:t xml:space="preserve"> %. В 2017 году прогнозируемая численность </w:t>
      </w:r>
      <w:proofErr w:type="gramStart"/>
      <w:r w:rsidRPr="00B41472">
        <w:t>безработных граждан, зарегистрированных в государственных учреждениях службы занятости населения составит</w:t>
      </w:r>
      <w:proofErr w:type="gramEnd"/>
      <w:r w:rsidRPr="00B41472">
        <w:t xml:space="preserve"> 1</w:t>
      </w:r>
      <w:r>
        <w:t>8</w:t>
      </w:r>
      <w:r w:rsidRPr="00B41472">
        <w:t>-1</w:t>
      </w:r>
      <w:r>
        <w:t>9</w:t>
      </w:r>
      <w:r w:rsidRPr="00B41472">
        <w:t xml:space="preserve"> человек. В сфере занятости основными задачами будут оставаться задачи по снижению в численности зарегистрированных безработных из числа женщин, воспитывающих несовершеннолетних детей, инвалидов, лиц предпенсионного возраста, выпускников учебных заведений и др. Остается важной задачей - ориентация системы профобразования на потребности рынка труда.</w:t>
      </w:r>
    </w:p>
    <w:p w:rsidR="00C50693" w:rsidRPr="0074350E" w:rsidRDefault="00C50693" w:rsidP="00C50693">
      <w:pPr>
        <w:ind w:firstLine="540"/>
        <w:jc w:val="both"/>
      </w:pPr>
      <w:r w:rsidRPr="00B41472">
        <w:t xml:space="preserve">Важным направлением макроэкономической политики будет оставаться последовательное повышение уровня жизни населения, </w:t>
      </w:r>
      <w:proofErr w:type="gramStart"/>
      <w:r w:rsidRPr="00B41472">
        <w:t>над</w:t>
      </w:r>
      <w:proofErr w:type="gramEnd"/>
      <w:r w:rsidRPr="00B41472">
        <w:t xml:space="preserve"> чем активно продолжат свою работу учреждения здравоохранения, образования, культуры и спорта, обеспечивающие</w:t>
      </w:r>
      <w:r w:rsidRPr="0074350E">
        <w:t xml:space="preserve"> всеобщую доступность основных социальных благ.</w:t>
      </w:r>
    </w:p>
    <w:p w:rsidR="00C50693" w:rsidRPr="00842DDC" w:rsidRDefault="00C50693" w:rsidP="00C50693">
      <w:pPr>
        <w:pStyle w:val="2"/>
        <w:ind w:firstLine="539"/>
      </w:pPr>
      <w:r w:rsidRPr="00842DDC">
        <w:t xml:space="preserve">В </w:t>
      </w:r>
      <w:r w:rsidRPr="00842DDC">
        <w:rPr>
          <w:b/>
          <w:bCs/>
        </w:rPr>
        <w:t>области здравоохранения</w:t>
      </w:r>
      <w:r w:rsidRPr="00842DDC">
        <w:t xml:space="preserve"> усилится акцент на оказание первичной медико-санитарной помощи. </w:t>
      </w:r>
      <w:proofErr w:type="gramStart"/>
      <w:r w:rsidRPr="00842DDC">
        <w:t>Медицинскую помощь населению Шумерлинского района оказывает БУ «Шумерлинский межтерриториальный медицинский центр» Минздравсоцразвития Чувашии (далее - БУ «Шумерлинский ММЦ»), который определен как межтерриториальный центр II уровня оказания медицинской помощи акушерско-гинекологического, педиатрического, травматологического, кардиологического и неврологического профилей, а также при патологии новорожденных с общим коечным фондом 274 коек круглосуточного пребывания и плановой мощностью 760 посещений в смену, включает 77 коек дневного пребывания (из</w:t>
      </w:r>
      <w:proofErr w:type="gramEnd"/>
      <w:r w:rsidRPr="00842DDC">
        <w:t xml:space="preserve"> </w:t>
      </w:r>
      <w:proofErr w:type="gramStart"/>
      <w:r w:rsidRPr="00842DDC">
        <w:t>которых</w:t>
      </w:r>
      <w:proofErr w:type="gramEnd"/>
      <w:r w:rsidRPr="00842DDC">
        <w:t xml:space="preserve"> 50 организовано при стационаре, 27 - при поликлинике). На  территории района функционируют 13  фельдшерско-акушерских пунктов, 6 офисов врачей общей практики.</w:t>
      </w:r>
    </w:p>
    <w:p w:rsidR="00C50693" w:rsidRPr="00842DDC" w:rsidRDefault="00C50693" w:rsidP="00C50693">
      <w:pPr>
        <w:pStyle w:val="2"/>
        <w:ind w:firstLine="539"/>
      </w:pPr>
      <w:proofErr w:type="gramStart"/>
      <w:r w:rsidRPr="00842DDC">
        <w:t>В целях повышения доступности стационарзамещающей медицинской помощи  с 1 сентября 2014 года проведена реструктуризация коечного фонда  с переводом части круглосуточных коек в дневные и соответственно увеличилось количество дневных коек при стационаре с 10 до 50..</w:t>
      </w:r>
      <w:proofErr w:type="gramEnd"/>
    </w:p>
    <w:p w:rsidR="00C50693" w:rsidRPr="00842DDC" w:rsidRDefault="00C50693" w:rsidP="00C50693">
      <w:pPr>
        <w:pStyle w:val="af"/>
        <w:kinsoku w:val="0"/>
        <w:overflowPunct w:val="0"/>
        <w:spacing w:before="0" w:beforeAutospacing="0" w:after="0" w:afterAutospacing="0"/>
        <w:ind w:firstLine="539"/>
        <w:jc w:val="both"/>
        <w:textAlignment w:val="baseline"/>
        <w:rPr>
          <w:color w:val="000000"/>
          <w:kern w:val="24"/>
        </w:rPr>
      </w:pPr>
      <w:r w:rsidRPr="00842DDC">
        <w:lastRenderedPageBreak/>
        <w:t xml:space="preserve">В 2013 году открыто травматолого-ортопедическое отделение на 23 койки и на его базе </w:t>
      </w:r>
      <w:r w:rsidRPr="00842DDC">
        <w:rPr>
          <w:color w:val="000000"/>
          <w:kern w:val="24"/>
        </w:rPr>
        <w:t xml:space="preserve"> создан травматологический центр </w:t>
      </w:r>
      <w:r w:rsidRPr="00842DDC">
        <w:rPr>
          <w:color w:val="000000"/>
          <w:kern w:val="24"/>
          <w:lang w:val="en-US"/>
        </w:rPr>
        <w:t>II</w:t>
      </w:r>
      <w:r w:rsidRPr="00842DDC">
        <w:rPr>
          <w:color w:val="000000"/>
          <w:kern w:val="24"/>
        </w:rPr>
        <w:t xml:space="preserve"> уровня для совершенствования оказания медицинской помощи пострадавшим с сочетанными, множественными и изолированными травмами поступающих на стационарное лечение из травматологических центров </w:t>
      </w:r>
      <w:r w:rsidRPr="00842DDC">
        <w:rPr>
          <w:color w:val="000000"/>
          <w:kern w:val="24"/>
          <w:lang w:val="en-US"/>
        </w:rPr>
        <w:t>III</w:t>
      </w:r>
      <w:r w:rsidRPr="00842DDC">
        <w:rPr>
          <w:color w:val="000000"/>
          <w:kern w:val="24"/>
        </w:rPr>
        <w:t xml:space="preserve"> уровня и мест ДТП.</w:t>
      </w:r>
    </w:p>
    <w:p w:rsidR="00C50693" w:rsidRPr="00842DDC" w:rsidRDefault="00C50693" w:rsidP="00C50693">
      <w:pPr>
        <w:pStyle w:val="af"/>
        <w:kinsoku w:val="0"/>
        <w:overflowPunct w:val="0"/>
        <w:spacing w:before="0" w:beforeAutospacing="0" w:after="0" w:afterAutospacing="0"/>
        <w:ind w:firstLine="539"/>
        <w:jc w:val="both"/>
        <w:textAlignment w:val="baseline"/>
      </w:pPr>
      <w:r w:rsidRPr="00842DDC">
        <w:rPr>
          <w:color w:val="000000"/>
          <w:kern w:val="24"/>
        </w:rPr>
        <w:t xml:space="preserve"> Для оказания экстренной медицинской помощи в 2014 г. </w:t>
      </w:r>
      <w:bookmarkStart w:id="1" w:name="_GoBack"/>
      <w:bookmarkEnd w:id="1"/>
      <w:r w:rsidRPr="00842DDC">
        <w:t xml:space="preserve"> открыто дополнительно 6 коек в отделении анестезиологии и реанимации.</w:t>
      </w:r>
    </w:p>
    <w:p w:rsidR="00C50693" w:rsidRPr="00842DDC" w:rsidRDefault="00C50693" w:rsidP="00C50693">
      <w:pPr>
        <w:pStyle w:val="af"/>
        <w:kinsoku w:val="0"/>
        <w:overflowPunct w:val="0"/>
        <w:spacing w:before="0" w:beforeAutospacing="0" w:after="0" w:afterAutospacing="0"/>
        <w:ind w:firstLine="539"/>
        <w:jc w:val="both"/>
        <w:textAlignment w:val="baseline"/>
      </w:pPr>
      <w:r w:rsidRPr="00842DDC">
        <w:t xml:space="preserve"> Открыто Отделение общей врачебной практики в поселке Красный Октябрь с 2 койками дневного стационара и модульный ФАП в пос. Саланчик. </w:t>
      </w:r>
    </w:p>
    <w:p w:rsidR="00C50693" w:rsidRPr="00842DDC" w:rsidRDefault="00C50693" w:rsidP="00C50693">
      <w:pPr>
        <w:pStyle w:val="af"/>
        <w:kinsoku w:val="0"/>
        <w:overflowPunct w:val="0"/>
        <w:spacing w:before="0" w:beforeAutospacing="0" w:after="0" w:afterAutospacing="0"/>
        <w:ind w:firstLine="539"/>
        <w:jc w:val="both"/>
        <w:textAlignment w:val="baseline"/>
      </w:pPr>
      <w:r w:rsidRPr="00842DDC">
        <w:t>В 2014 году планируется открыть модульный ФАП в пос. Верхний Магарин, в</w:t>
      </w:r>
      <w:r>
        <w:t xml:space="preserve"> </w:t>
      </w:r>
      <w:r w:rsidRPr="00842DDC">
        <w:t>2015 году в д</w:t>
      </w:r>
      <w:proofErr w:type="gramStart"/>
      <w:r w:rsidRPr="00842DDC">
        <w:t>.Б</w:t>
      </w:r>
      <w:proofErr w:type="gramEnd"/>
      <w:r w:rsidRPr="00842DDC">
        <w:t xml:space="preserve">реняши. </w:t>
      </w:r>
    </w:p>
    <w:p w:rsidR="00C50693" w:rsidRPr="00842DDC" w:rsidRDefault="00C50693" w:rsidP="00C50693">
      <w:pPr>
        <w:pStyle w:val="2"/>
        <w:ind w:firstLine="539"/>
      </w:pPr>
      <w:r w:rsidRPr="00842DDC">
        <w:t>Проведен капитальный ремонт регистратуры поликлиники, неврологического кардиологического, травматологического, терапевтического отделений.</w:t>
      </w:r>
    </w:p>
    <w:p w:rsidR="00C50693" w:rsidRPr="00842DDC" w:rsidRDefault="00C50693" w:rsidP="00C50693">
      <w:pPr>
        <w:pStyle w:val="2"/>
        <w:ind w:firstLine="539"/>
      </w:pPr>
      <w:r w:rsidRPr="00842DDC">
        <w:t>В целях расширения работы по профилактике заболеваемости и смертности обслуживаемого населения открыт кабинет медицинской профилактики, который курирует работу по диспансеризации населения.</w:t>
      </w:r>
    </w:p>
    <w:p w:rsidR="00C50693" w:rsidRPr="00842DDC" w:rsidRDefault="00C50693" w:rsidP="00C50693">
      <w:pPr>
        <w:pStyle w:val="2"/>
        <w:ind w:firstLine="539"/>
      </w:pPr>
      <w:r w:rsidRPr="00842DDC">
        <w:t>Для профилактики и снижения заболеваемости населения гастроэнтерологической патологией обучен врач гастроэнтеролог и открыт кабинет врача гастроэнтеролога.</w:t>
      </w:r>
    </w:p>
    <w:p w:rsidR="00C50693" w:rsidRPr="00842DDC" w:rsidRDefault="00C50693" w:rsidP="00C50693">
      <w:pPr>
        <w:ind w:right="-185" w:firstLine="540"/>
        <w:jc w:val="both"/>
      </w:pPr>
      <w:r w:rsidRPr="00842DDC">
        <w:t xml:space="preserve">В учреждении  работает  688  человек, из них  106  врачей , 278 среднего медицинского персонала,158 младшего медицинского персонала. Укомплектованность врачебными кадрами  63%, средним медперсоналом 76,5 %,младшим медицинским персоналом 86,7%. </w:t>
      </w:r>
    </w:p>
    <w:p w:rsidR="00C50693" w:rsidRPr="00842DDC" w:rsidRDefault="00C50693" w:rsidP="00C50693">
      <w:pPr>
        <w:pStyle w:val="2"/>
        <w:ind w:firstLine="540"/>
      </w:pPr>
      <w:r w:rsidRPr="00842DDC">
        <w:t>Для укомплектования медицинскими кадрами проводится работа по целевой подготовке врачей на базе медицинских вузов и внедрена контрактная система оплаты труда молодых специалистов.</w:t>
      </w:r>
    </w:p>
    <w:p w:rsidR="00C50693" w:rsidRPr="00842DDC" w:rsidRDefault="00C50693" w:rsidP="00C50693">
      <w:pPr>
        <w:ind w:right="-185" w:firstLine="539"/>
        <w:jc w:val="both"/>
      </w:pPr>
      <w:r w:rsidRPr="00842DDC">
        <w:t xml:space="preserve">  Обеспеченность больничными койками к 2017 году составит 70-74 коек на 10 тыс.  жителей. Численность врачей всех специальностей к концу 2017 года ожидается 0,12 тыс. человек. Численность среднего медицинского персонала к концу 2017 года ожидается 0,30 тыс. человек. Ключевой проблемой в здравоохранении Шумерлинского района остается проблема дефицита врачебных кадров и растущая доля работников пенсионного и предпенсионного возраста.</w:t>
      </w:r>
    </w:p>
    <w:p w:rsidR="00C50693" w:rsidRPr="00E14E21" w:rsidRDefault="00C50693" w:rsidP="00C50693">
      <w:pPr>
        <w:ind w:right="-185" w:firstLine="540"/>
        <w:jc w:val="both"/>
      </w:pPr>
      <w:r w:rsidRPr="00E14E21">
        <w:t xml:space="preserve"> </w:t>
      </w:r>
    </w:p>
    <w:p w:rsidR="00C50693" w:rsidRPr="00CA14FD" w:rsidRDefault="00C50693" w:rsidP="00C50693">
      <w:pPr>
        <w:pStyle w:val="2"/>
        <w:ind w:firstLine="540"/>
      </w:pPr>
      <w:r w:rsidRPr="00CA14FD">
        <w:t xml:space="preserve">В системе </w:t>
      </w:r>
      <w:r w:rsidRPr="00CA14FD">
        <w:rPr>
          <w:b/>
        </w:rPr>
        <w:t>социальной обеспеченности</w:t>
      </w:r>
      <w:r w:rsidRPr="00CA14FD">
        <w:t xml:space="preserve"> продолжит функционирование сеть учреждений социального обслуживания населения – Центр социального обслуживания населения, отдел соцзащиты населения.</w:t>
      </w:r>
    </w:p>
    <w:p w:rsidR="00C50693" w:rsidRDefault="00C50693" w:rsidP="00C50693">
      <w:pPr>
        <w:ind w:firstLine="540"/>
        <w:jc w:val="both"/>
      </w:pPr>
      <w:r w:rsidRPr="00CA14FD">
        <w:rPr>
          <w:b/>
        </w:rPr>
        <w:t>Система  образования</w:t>
      </w:r>
      <w:r w:rsidRPr="00CA14FD">
        <w:t xml:space="preserve"> Шумерлинского района представлена </w:t>
      </w:r>
      <w:r w:rsidRPr="0037195B">
        <w:t>8 общеобразовательны</w:t>
      </w:r>
      <w:r>
        <w:t>ми</w:t>
      </w:r>
      <w:r w:rsidRPr="0037195B">
        <w:t xml:space="preserve"> организаци</w:t>
      </w:r>
      <w:r>
        <w:t>ями</w:t>
      </w:r>
      <w:r w:rsidRPr="0037195B">
        <w:t>, в которых обучается 715 учащийся</w:t>
      </w:r>
      <w:r>
        <w:t xml:space="preserve"> </w:t>
      </w:r>
      <w:r w:rsidRPr="00953754">
        <w:t>(</w:t>
      </w:r>
      <w:r>
        <w:t xml:space="preserve">1 полугодие </w:t>
      </w:r>
      <w:smartTag w:uri="urn:schemas-microsoft-com:office:smarttags" w:element="metricconverter">
        <w:smartTagPr>
          <w:attr w:name="ProductID" w:val="2014 г"/>
        </w:smartTagPr>
        <w:r w:rsidRPr="00953754">
          <w:t>201</w:t>
        </w:r>
        <w:r>
          <w:t>4</w:t>
        </w:r>
        <w:r w:rsidRPr="00953754">
          <w:t xml:space="preserve"> г</w:t>
        </w:r>
      </w:smartTag>
      <w:r w:rsidRPr="00953754">
        <w:t>. –</w:t>
      </w:r>
      <w:r>
        <w:t xml:space="preserve"> 776 </w:t>
      </w:r>
      <w:r w:rsidRPr="00953754">
        <w:t>уч.)</w:t>
      </w:r>
      <w:r w:rsidRPr="0037195B">
        <w:t>. Наполняемость классов составляет 9,9 чел. (по республике в сельской местности – 14,07), число учащихся на 1 учителя – 6,9 (по республике в сельской местности – 10).</w:t>
      </w:r>
      <w:r>
        <w:t xml:space="preserve"> </w:t>
      </w:r>
    </w:p>
    <w:p w:rsidR="00C50693" w:rsidRDefault="00C50693" w:rsidP="00C50693">
      <w:pPr>
        <w:ind w:firstLine="540"/>
        <w:jc w:val="both"/>
      </w:pPr>
      <w:r w:rsidRPr="000F08FD">
        <w:t>Система дошкольного образования представлена 14 дошкольными группами при 7 общеобразовательных организациях, 1 организаци</w:t>
      </w:r>
      <w:r>
        <w:t>и</w:t>
      </w:r>
      <w:r w:rsidRPr="000F08FD">
        <w:t xml:space="preserve"> «начальная школа - детский сад». В них воспитывается 201 ребенок, что составляет 38,5 процент детей в возрасте от 1 до 7 лет (в </w:t>
      </w:r>
      <w:r w:rsidRPr="000F08FD">
        <w:lastRenderedPageBreak/>
        <w:t>республике – 74,9%). В очереди в детские сады зарегистрированы  3  детей старше 1,5 лет, все дети старше трех лет получают дошкольное образование.</w:t>
      </w:r>
    </w:p>
    <w:p w:rsidR="00C50693" w:rsidRDefault="00C50693" w:rsidP="00C50693">
      <w:pPr>
        <w:ind w:firstLine="540"/>
        <w:jc w:val="both"/>
      </w:pPr>
      <w:r>
        <w:t xml:space="preserve">Педагогических работников 137. </w:t>
      </w:r>
      <w:r w:rsidRPr="00D10624">
        <w:t>Всего аттестовано – 93%</w:t>
      </w:r>
      <w:r>
        <w:t>. В</w:t>
      </w:r>
      <w:r w:rsidRPr="00D10624">
        <w:t>ысшая категория – 13,3%</w:t>
      </w:r>
      <w:r>
        <w:t xml:space="preserve">, </w:t>
      </w:r>
      <w:r w:rsidRPr="00D10624">
        <w:t>I категория – 85%</w:t>
      </w:r>
      <w:r>
        <w:t xml:space="preserve">, </w:t>
      </w:r>
      <w:r w:rsidRPr="00D10624">
        <w:t>II категория – 1,6%</w:t>
      </w:r>
      <w:r>
        <w:t>.</w:t>
      </w:r>
    </w:p>
    <w:p w:rsidR="00C50693" w:rsidRDefault="00C50693" w:rsidP="00C50693">
      <w:pPr>
        <w:ind w:firstLine="540"/>
        <w:jc w:val="both"/>
      </w:pPr>
      <w:r w:rsidRPr="00AC0263">
        <w:t>Доля молодых специалистов в возрасте до 35 лет в системе школьного образования составляет 6 процентов, дошкольного образования – 21 процент, дополнительного образования детей – 20 процента.</w:t>
      </w:r>
    </w:p>
    <w:p w:rsidR="00C50693" w:rsidRDefault="00C50693" w:rsidP="00C50693">
      <w:pPr>
        <w:ind w:firstLine="540"/>
        <w:jc w:val="both"/>
      </w:pPr>
      <w:r w:rsidRPr="00321C66">
        <w:t>Во всех общеобразовательных организациях района обучение ведется только в первую смену.</w:t>
      </w:r>
    </w:p>
    <w:p w:rsidR="00C50693" w:rsidRDefault="00C50693" w:rsidP="00C50693">
      <w:pPr>
        <w:ind w:firstLine="540"/>
        <w:jc w:val="both"/>
      </w:pPr>
      <w:r w:rsidRPr="00323FA2">
        <w:t>Охват</w:t>
      </w:r>
      <w:r>
        <w:t xml:space="preserve"> горячим питание составляет 96%</w:t>
      </w:r>
      <w:r w:rsidRPr="00323FA2">
        <w:t>.  Средняя стоимость питания</w:t>
      </w:r>
      <w:r>
        <w:t xml:space="preserve"> на одного ребенка составляет 23</w:t>
      </w:r>
      <w:r w:rsidRPr="00323FA2">
        <w:t>,</w:t>
      </w:r>
      <w:r>
        <w:t xml:space="preserve">32 руб. </w:t>
      </w:r>
      <w:r w:rsidRPr="00323FA2">
        <w:t xml:space="preserve">Заключены договора с поставщиками продуктов питания: ООО «Прогресс», ИП Кириллова С.Г. – 7 школ, </w:t>
      </w:r>
      <w:r>
        <w:t>в</w:t>
      </w:r>
      <w:r w:rsidRPr="00323FA2">
        <w:t xml:space="preserve"> МБОУ «Юманайская СОШ» и МБОУ «Ходарская СОШ им. И.Н.Ульянова» организация питания передана на аутсортинг Аликовскому  районному  потребительскому обществу Чувашпотребсоюза.</w:t>
      </w:r>
    </w:p>
    <w:p w:rsidR="00C50693" w:rsidRDefault="00C50693" w:rsidP="00C50693">
      <w:pPr>
        <w:ind w:firstLine="540"/>
        <w:jc w:val="both"/>
      </w:pPr>
      <w:r w:rsidRPr="000E46D6">
        <w:t>Обеспеченность учебниками составляет в районе 100%. Процент обеспеченности школьников из малообеспеченных семей  составляет  100%.</w:t>
      </w:r>
    </w:p>
    <w:p w:rsidR="00C50693" w:rsidRDefault="00C50693" w:rsidP="00C50693">
      <w:pPr>
        <w:ind w:firstLine="540"/>
        <w:jc w:val="both"/>
      </w:pPr>
      <w:r w:rsidRPr="00EC1CF8">
        <w:t>По  государственной программе Российской Федерации  «Доступная среда» на 2011-2015 года, участником которой является МБОУ «Ходарская СОШ им. И.Н. Ульянова», выделены  финансовые средства в сумме 1652,4 тыс. рублей.</w:t>
      </w:r>
    </w:p>
    <w:p w:rsidR="00C50693" w:rsidRPr="007C1277" w:rsidRDefault="00C50693" w:rsidP="00C50693">
      <w:pPr>
        <w:ind w:firstLine="540"/>
        <w:jc w:val="both"/>
      </w:pPr>
      <w:r w:rsidRPr="007C1277">
        <w:t xml:space="preserve">В ходе реализации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финансовые средства в размере 838 тыс. рублей направлены на капитальный ремонт спортивного зала МБОУ «Юманайская СОШ». Средства направлены на капитальный ремонт кровли здания, замену оконных блоков, ремонт полов и системы отопления, оборудование душевых и санузлов при спортзале, модернизацию системы водоснабжения и канализации. </w:t>
      </w:r>
    </w:p>
    <w:p w:rsidR="00C50693" w:rsidRDefault="00C50693" w:rsidP="00C50693">
      <w:pPr>
        <w:ind w:firstLine="540"/>
        <w:jc w:val="both"/>
      </w:pPr>
      <w:r w:rsidRPr="007C1277">
        <w:t>Системой дополнительного образования охвачено 30 процента детей в возрасте от 5 до 18 лет.</w:t>
      </w:r>
    </w:p>
    <w:p w:rsidR="00C50693" w:rsidRPr="00914C19" w:rsidRDefault="00C50693" w:rsidP="00C50693">
      <w:pPr>
        <w:ind w:firstLine="540"/>
        <w:jc w:val="both"/>
      </w:pPr>
      <w:r w:rsidRPr="00040473">
        <w:t>В 201</w:t>
      </w:r>
      <w:r>
        <w:t>3</w:t>
      </w:r>
      <w:r w:rsidRPr="00040473">
        <w:t xml:space="preserve"> году </w:t>
      </w:r>
      <w:r w:rsidRPr="00040473">
        <w:rPr>
          <w:b/>
        </w:rPr>
        <w:t>деятельность  культуры</w:t>
      </w:r>
      <w:r w:rsidRPr="00040473">
        <w:t xml:space="preserve"> была направлена на дальнейшее развитие и совершенствование работы отрасли культуры, сохранение и популяризацию национального культурного наследия, развитие материально-технической базы учреждений, способствование </w:t>
      </w:r>
      <w:r w:rsidRPr="00914C19">
        <w:t>предоставлению населению качественных  продуктов культурной деятельности.</w:t>
      </w:r>
    </w:p>
    <w:p w:rsidR="00C50693" w:rsidRPr="00914C19" w:rsidRDefault="00C50693" w:rsidP="00C50693">
      <w:pPr>
        <w:ind w:firstLine="540"/>
        <w:jc w:val="both"/>
      </w:pPr>
      <w:r w:rsidRPr="00914C19">
        <w:t xml:space="preserve">В районе функционирует 12 муниципальных бюджетных учреждений культуры. В них входит 19 культурно-досуговых учреждений и 17 поселенческих библиотек. Средняя заработная плата в районе за </w:t>
      </w:r>
      <w:r>
        <w:t xml:space="preserve">2013 </w:t>
      </w:r>
      <w:r w:rsidRPr="00914C19">
        <w:t>год составила - 8 650 руб. (</w:t>
      </w:r>
      <w:r>
        <w:t>в 2012 году- 5 780 руб.</w:t>
      </w:r>
      <w:r w:rsidRPr="00914C19">
        <w:t xml:space="preserve">). </w:t>
      </w:r>
    </w:p>
    <w:p w:rsidR="00C50693" w:rsidRPr="00040473" w:rsidRDefault="00C50693" w:rsidP="00C50693">
      <w:pPr>
        <w:pStyle w:val="2"/>
        <w:ind w:firstLine="540"/>
        <w:rPr>
          <w:u w:val="single"/>
        </w:rPr>
      </w:pPr>
      <w:r w:rsidRPr="00914C19">
        <w:t xml:space="preserve"> Экологическая обстановка в районе определяется характером и масштабами возде</w:t>
      </w:r>
      <w:r w:rsidRPr="00914C19">
        <w:t>й</w:t>
      </w:r>
      <w:r w:rsidRPr="00914C19">
        <w:t>ствия промышленности</w:t>
      </w:r>
      <w:r w:rsidRPr="00040473">
        <w:t>, транспорта и коммунального хозяйства на окружающую приро</w:t>
      </w:r>
      <w:r w:rsidRPr="00040473">
        <w:t>д</w:t>
      </w:r>
      <w:r w:rsidRPr="00040473">
        <w:t xml:space="preserve">ную среду. </w:t>
      </w:r>
      <w:r w:rsidRPr="004E27D8">
        <w:t xml:space="preserve">Текущие затраты на </w:t>
      </w:r>
      <w:r w:rsidRPr="004E27D8">
        <w:rPr>
          <w:b/>
        </w:rPr>
        <w:t>охрану окружающей среды</w:t>
      </w:r>
      <w:r w:rsidRPr="004E27D8">
        <w:t xml:space="preserve">  в 201</w:t>
      </w:r>
      <w:r>
        <w:t>3</w:t>
      </w:r>
      <w:r w:rsidRPr="004E27D8">
        <w:t xml:space="preserve"> году составили </w:t>
      </w:r>
      <w:r w:rsidRPr="00FA5917">
        <w:t>0,2</w:t>
      </w:r>
      <w:r>
        <w:t>2</w:t>
      </w:r>
      <w:r w:rsidRPr="00FA5917">
        <w:t xml:space="preserve"> млн. рублей</w:t>
      </w:r>
      <w:r w:rsidRPr="004E27D8">
        <w:t>. В 20</w:t>
      </w:r>
      <w:r>
        <w:t xml:space="preserve">12 </w:t>
      </w:r>
      <w:r w:rsidRPr="00040473">
        <w:t>г</w:t>
      </w:r>
      <w:r>
        <w:t>.</w:t>
      </w:r>
      <w:r w:rsidRPr="00040473">
        <w:t xml:space="preserve"> выбросов загрязняющих веществ в атмосферный воздух, отходящих от стационарных источников не было</w:t>
      </w:r>
      <w:r>
        <w:t>, в 2013 г. поступление в атмосферный воздух загрязняющих веществ составило 0,4 тысяч тонн</w:t>
      </w:r>
      <w:r w:rsidRPr="00040473">
        <w:t>.</w:t>
      </w:r>
    </w:p>
    <w:p w:rsidR="00C50693" w:rsidRPr="00040473" w:rsidRDefault="00C50693" w:rsidP="00C50693">
      <w:pPr>
        <w:ind w:firstLine="540"/>
        <w:jc w:val="both"/>
      </w:pPr>
      <w:r w:rsidRPr="00040473">
        <w:t>В 201</w:t>
      </w:r>
      <w:r>
        <w:t>3</w:t>
      </w:r>
      <w:r w:rsidRPr="00040473">
        <w:t xml:space="preserve"> году использование свежей воды в районе составило 1,24</w:t>
      </w:r>
      <w:r>
        <w:t>1</w:t>
      </w:r>
      <w:r w:rsidRPr="00040473">
        <w:t xml:space="preserve"> млн. куб.м. По прогнозу в 201</w:t>
      </w:r>
      <w:r>
        <w:t>7</w:t>
      </w:r>
      <w:r w:rsidRPr="00040473">
        <w:t xml:space="preserve"> году объем в</w:t>
      </w:r>
      <w:r w:rsidRPr="00040473">
        <w:t>о</w:t>
      </w:r>
      <w:r w:rsidRPr="00040473">
        <w:t>допотребления составит 1,24</w:t>
      </w:r>
      <w:r>
        <w:t>7</w:t>
      </w:r>
      <w:r w:rsidRPr="00040473">
        <w:t>-1,24</w:t>
      </w:r>
      <w:r>
        <w:t>8</w:t>
      </w:r>
      <w:r w:rsidRPr="00040473">
        <w:t xml:space="preserve"> млн. куб. м.</w:t>
      </w:r>
    </w:p>
    <w:p w:rsidR="00C50693" w:rsidRPr="00040473" w:rsidRDefault="00C50693" w:rsidP="00C50693">
      <w:pPr>
        <w:ind w:firstLine="540"/>
        <w:jc w:val="both"/>
      </w:pPr>
    </w:p>
    <w:p w:rsidR="00C50693" w:rsidRDefault="00C50693"/>
    <w:sectPr w:rsidR="00C50693">
      <w:footerReference w:type="even" r:id="rId7"/>
      <w:footerReference w:type="default" r:id="rId8"/>
      <w:pgSz w:w="11906" w:h="16838" w:code="9"/>
      <w:pgMar w:top="539" w:right="709" w:bottom="72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9B" w:rsidRPr="00E61EA0" w:rsidRDefault="00C50693" w:rsidP="004750E8">
    <w:pPr>
      <w:pStyle w:val="a5"/>
      <w:jc w:val="right"/>
      <w:rPr>
        <w:sz w:val="22"/>
      </w:rPr>
    </w:pPr>
    <w:r w:rsidRPr="00E61EA0">
      <w:rPr>
        <w:sz w:val="22"/>
      </w:rPr>
      <w:fldChar w:fldCharType="begin"/>
    </w:r>
    <w:r w:rsidRPr="00E61EA0">
      <w:rPr>
        <w:sz w:val="22"/>
      </w:rPr>
      <w:instrText xml:space="preserve"> PAGE   \* MERGEFORMAT </w:instrText>
    </w:r>
    <w:r w:rsidRPr="00E61EA0">
      <w:rPr>
        <w:sz w:val="22"/>
      </w:rPr>
      <w:fldChar w:fldCharType="separate"/>
    </w:r>
    <w:r>
      <w:rPr>
        <w:noProof/>
        <w:sz w:val="22"/>
      </w:rPr>
      <w:t>1</w:t>
    </w:r>
    <w:r w:rsidRPr="00E61EA0">
      <w:rPr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E1" w:rsidRDefault="00C5069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17E1" w:rsidRDefault="00C506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E1" w:rsidRDefault="00C5069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77</w:t>
    </w:r>
    <w:r>
      <w:rPr>
        <w:rStyle w:val="ad"/>
      </w:rPr>
      <w:fldChar w:fldCharType="end"/>
    </w:r>
  </w:p>
  <w:p w:rsidR="00F417E1" w:rsidRDefault="00C5069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3BF"/>
    <w:multiLevelType w:val="hybridMultilevel"/>
    <w:tmpl w:val="C85E4BE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8F975D0"/>
    <w:multiLevelType w:val="hybridMultilevel"/>
    <w:tmpl w:val="ED96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0693"/>
    <w:rsid w:val="003A3248"/>
    <w:rsid w:val="00C5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6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069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C5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506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50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506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C50693"/>
    <w:rPr>
      <w:b/>
      <w:bCs/>
      <w:color w:val="000080"/>
      <w:szCs w:val="20"/>
    </w:rPr>
  </w:style>
  <w:style w:type="character" w:styleId="a9">
    <w:name w:val="Hyperlink"/>
    <w:basedOn w:val="a0"/>
    <w:uiPriority w:val="99"/>
    <w:semiHidden/>
    <w:unhideWhenUsed/>
    <w:rsid w:val="00C5069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50693"/>
    <w:rPr>
      <w:color w:val="800080"/>
      <w:u w:val="single"/>
    </w:rPr>
  </w:style>
  <w:style w:type="paragraph" w:customStyle="1" w:styleId="font5">
    <w:name w:val="font5"/>
    <w:basedOn w:val="a"/>
    <w:rsid w:val="00C5069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C5069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50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50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50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79">
    <w:name w:val="xl79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6">
    <w:name w:val="xl96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7">
    <w:name w:val="xl97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8">
    <w:name w:val="xl98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C50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C50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C50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C50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C506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C5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C50693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C50693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C506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506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0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6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page number"/>
    <w:basedOn w:val="a0"/>
    <w:rsid w:val="00C50693"/>
  </w:style>
  <w:style w:type="paragraph" w:customStyle="1" w:styleId="msonospacing0">
    <w:name w:val="msonospacing"/>
    <w:basedOn w:val="a"/>
    <w:rsid w:val="00C506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50693"/>
  </w:style>
  <w:style w:type="character" w:styleId="ae">
    <w:name w:val="Emphasis"/>
    <w:uiPriority w:val="20"/>
    <w:qFormat/>
    <w:rsid w:val="00C50693"/>
    <w:rPr>
      <w:i/>
      <w:iCs/>
    </w:rPr>
  </w:style>
  <w:style w:type="paragraph" w:styleId="af">
    <w:name w:val="Normal (Web)"/>
    <w:basedOn w:val="a"/>
    <w:uiPriority w:val="99"/>
    <w:unhideWhenUsed/>
    <w:rsid w:val="00C50693"/>
    <w:pPr>
      <w:spacing w:before="100" w:beforeAutospacing="1" w:after="100" w:afterAutospacing="1"/>
    </w:pPr>
  </w:style>
  <w:style w:type="paragraph" w:styleId="af0">
    <w:name w:val="No Spacing"/>
    <w:uiPriority w:val="99"/>
    <w:qFormat/>
    <w:rsid w:val="00C506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79</Pages>
  <Words>12877</Words>
  <Characters>73405</Characters>
  <Application>Microsoft Office Word</Application>
  <DocSecurity>0</DocSecurity>
  <Lines>611</Lines>
  <Paragraphs>172</Paragraphs>
  <ScaleCrop>false</ScaleCrop>
  <Company/>
  <LinksUpToDate>false</LinksUpToDate>
  <CharactersWithSpaces>86110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1</cp:revision>
  <dcterms:created xsi:type="dcterms:W3CDTF">2014-11-10T06:52:00Z</dcterms:created>
  <dcterms:modified xsi:type="dcterms:W3CDTF">2014-11-10T06:57:00Z</dcterms:modified>
</cp:coreProperties>
</file>