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bookmarkStart w:id="0" w:name="_GoBack"/>
      <w:bookmarkEnd w:id="0"/>
    </w:p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9937AC">
        <w:rPr>
          <w:rFonts w:ascii="Times New Roman" w:hAnsi="Times New Roman" w:cs="Times New Roman"/>
          <w:sz w:val="24"/>
          <w:szCs w:val="24"/>
        </w:rPr>
        <w:t>о достигнутых значениях показателей для оценки эффективности</w:t>
      </w:r>
    </w:p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9937AC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Канашского района  за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7AC">
        <w:rPr>
          <w:rFonts w:ascii="Times New Roman" w:hAnsi="Times New Roman" w:cs="Times New Roman"/>
          <w:sz w:val="24"/>
          <w:szCs w:val="24"/>
        </w:rPr>
        <w:t xml:space="preserve">  год и их планируемых значениях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7A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37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937AC">
        <w:rPr>
          <w:rFonts w:ascii="Times New Roman" w:hAnsi="Times New Roman" w:cs="Times New Roman"/>
          <w:sz w:val="24"/>
          <w:szCs w:val="24"/>
        </w:rPr>
        <w:t>Доклад о достигнутых значениях показателей для оценки эффективности деятельности органов местного самоуправления Канашского района за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7AC">
        <w:rPr>
          <w:rFonts w:ascii="Times New Roman" w:hAnsi="Times New Roman" w:cs="Times New Roman"/>
          <w:sz w:val="24"/>
          <w:szCs w:val="24"/>
        </w:rPr>
        <w:t xml:space="preserve">  год и их планируемых значениях на 3 - летний период   составлен в соответствии с  требованиями Указа Президента Российской Федерации от 28 апреля 2008 г.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AC">
        <w:rPr>
          <w:rFonts w:ascii="Times New Roman" w:hAnsi="Times New Roman" w:cs="Times New Roman"/>
          <w:sz w:val="24"/>
          <w:szCs w:val="24"/>
        </w:rPr>
        <w:t>17.12.2012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AC">
        <w:rPr>
          <w:rFonts w:ascii="Times New Roman" w:hAnsi="Times New Roman" w:cs="Times New Roman"/>
          <w:sz w:val="24"/>
          <w:szCs w:val="24"/>
        </w:rPr>
        <w:t>1317.</w:t>
      </w:r>
    </w:p>
    <w:p w:rsidR="00E631FB" w:rsidRPr="009937AC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cs="Times New Roman"/>
          <w:sz w:val="24"/>
          <w:szCs w:val="24"/>
        </w:rPr>
      </w:pPr>
      <w:r w:rsidRPr="009937AC">
        <w:rPr>
          <w:rFonts w:ascii="Times New Roman" w:hAnsi="Times New Roman" w:cs="Times New Roman"/>
          <w:sz w:val="24"/>
          <w:szCs w:val="24"/>
        </w:rPr>
        <w:t xml:space="preserve">Показатели  состоят  из разделов: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37AC">
        <w:rPr>
          <w:rFonts w:ascii="Times New Roman" w:hAnsi="Times New Roman" w:cs="Times New Roman"/>
          <w:sz w:val="24"/>
          <w:szCs w:val="24"/>
        </w:rPr>
        <w:t xml:space="preserve"> «Экономическое развитие»,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–«Дошкольное  образование», Ш – «Общее и дополнительное образование»,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–«Культура»,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37AC">
        <w:rPr>
          <w:rFonts w:ascii="Times New Roman" w:hAnsi="Times New Roman" w:cs="Times New Roman"/>
          <w:sz w:val="24"/>
          <w:szCs w:val="24"/>
        </w:rPr>
        <w:t xml:space="preserve">- «Физическая культура и спорт»,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 «Жилищное строительство и обеспечение граждан жильем»,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 «Жилищно-коммунальное хозяйство»,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 «Организация муниципального управления", </w:t>
      </w:r>
      <w:r w:rsidRPr="009937A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937AC">
        <w:rPr>
          <w:rFonts w:ascii="Times New Roman" w:hAnsi="Times New Roman" w:cs="Times New Roman"/>
          <w:sz w:val="24"/>
          <w:szCs w:val="24"/>
        </w:rPr>
        <w:t xml:space="preserve"> – Энергосбережение и повышение энергетической эффе</w:t>
      </w:r>
      <w:r>
        <w:rPr>
          <w:rFonts w:ascii="Times New Roman" w:hAnsi="Times New Roman" w:cs="Times New Roman"/>
          <w:sz w:val="24"/>
          <w:szCs w:val="24"/>
        </w:rPr>
        <w:t>ктивности». Всего  40 показателей</w:t>
      </w:r>
      <w:r w:rsidRPr="009937AC">
        <w:rPr>
          <w:rFonts w:ascii="Times New Roman" w:hAnsi="Times New Roman" w:cs="Times New Roman"/>
          <w:sz w:val="24"/>
          <w:szCs w:val="24"/>
        </w:rPr>
        <w:t>.</w:t>
      </w:r>
    </w:p>
    <w:p w:rsidR="00E631FB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937AC">
        <w:rPr>
          <w:rFonts w:ascii="Times New Roman" w:hAnsi="Times New Roman" w:cs="Times New Roman"/>
          <w:sz w:val="24"/>
          <w:szCs w:val="24"/>
        </w:rPr>
        <w:t>В докладе представлена информация об  основных показателях деятельности органов местного самоуправления Канашского района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7AC">
        <w:rPr>
          <w:rFonts w:ascii="Times New Roman" w:hAnsi="Times New Roman" w:cs="Times New Roman"/>
          <w:sz w:val="24"/>
          <w:szCs w:val="24"/>
        </w:rPr>
        <w:t xml:space="preserve"> г., и определены значения показателей на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93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937AC">
        <w:rPr>
          <w:rFonts w:ascii="Times New Roman" w:hAnsi="Times New Roman" w:cs="Times New Roman"/>
          <w:sz w:val="24"/>
          <w:szCs w:val="24"/>
        </w:rPr>
        <w:t>г.г., достижение которых обеспечит решение поставленных целей и задач.</w:t>
      </w:r>
    </w:p>
    <w:p w:rsidR="00E631FB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3945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 по крупны</w:t>
      </w:r>
      <w:r>
        <w:rPr>
          <w:rFonts w:ascii="Times New Roman" w:hAnsi="Times New Roman" w:cs="Times New Roman"/>
          <w:sz w:val="24"/>
          <w:szCs w:val="24"/>
        </w:rPr>
        <w:t>м и средним организациям за 2014</w:t>
      </w:r>
      <w:r w:rsidRPr="00F73945">
        <w:rPr>
          <w:rFonts w:ascii="Times New Roman" w:hAnsi="Times New Roman" w:cs="Times New Roman"/>
          <w:sz w:val="24"/>
          <w:szCs w:val="24"/>
        </w:rPr>
        <w:t xml:space="preserve"> г. в д</w:t>
      </w:r>
      <w:r>
        <w:rPr>
          <w:rFonts w:ascii="Times New Roman" w:hAnsi="Times New Roman" w:cs="Times New Roman"/>
          <w:sz w:val="24"/>
          <w:szCs w:val="24"/>
        </w:rPr>
        <w:t xml:space="preserve">ействующих  ценах составил 105,9 млн. руб. рост составил 79,0 </w:t>
      </w:r>
      <w:r w:rsidRPr="00F73945">
        <w:rPr>
          <w:rFonts w:ascii="Times New Roman" w:hAnsi="Times New Roman" w:cs="Times New Roman"/>
          <w:sz w:val="24"/>
          <w:szCs w:val="24"/>
        </w:rPr>
        <w:t>%.</w:t>
      </w:r>
    </w:p>
    <w:p w:rsidR="00E631FB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3945">
        <w:rPr>
          <w:rFonts w:ascii="Times New Roman" w:hAnsi="Times New Roman" w:cs="Times New Roman"/>
          <w:sz w:val="24"/>
          <w:szCs w:val="24"/>
        </w:rPr>
        <w:t>Объем отгруженных товаров  собственного производства, выполненных работ и услуг собственными силами субъектами малого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за год составил 254,6</w:t>
      </w:r>
      <w:r w:rsidRPr="00F7394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E631FB" w:rsidRDefault="00E631FB" w:rsidP="00CB2147">
      <w:pPr>
        <w:pStyle w:val="ConsPlusNonformat"/>
        <w:widowControl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3945">
        <w:rPr>
          <w:rFonts w:ascii="Times New Roman" w:hAnsi="Times New Roman" w:cs="Times New Roman"/>
          <w:sz w:val="24"/>
          <w:szCs w:val="24"/>
        </w:rPr>
        <w:t>Оборот розничной торговли организаций, не относящихся к субъектам малого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за 12 месяцев 2014</w:t>
      </w:r>
      <w:r w:rsidRPr="00F7394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916,7</w:t>
      </w:r>
      <w:r w:rsidRPr="00F73945">
        <w:rPr>
          <w:rFonts w:ascii="Times New Roman" w:hAnsi="Times New Roman" w:cs="Times New Roman"/>
          <w:sz w:val="24"/>
          <w:szCs w:val="24"/>
        </w:rPr>
        <w:t xml:space="preserve"> млн. руб., и</w:t>
      </w:r>
      <w:r>
        <w:rPr>
          <w:rFonts w:ascii="Times New Roman" w:hAnsi="Times New Roman" w:cs="Times New Roman"/>
          <w:sz w:val="24"/>
          <w:szCs w:val="24"/>
        </w:rPr>
        <w:t xml:space="preserve">ндекс физического объема – 93,3 </w:t>
      </w:r>
      <w:r w:rsidRPr="00F73945">
        <w:rPr>
          <w:rFonts w:ascii="Times New Roman" w:hAnsi="Times New Roman" w:cs="Times New Roman"/>
          <w:sz w:val="24"/>
          <w:szCs w:val="24"/>
        </w:rPr>
        <w:t>% к предыдущему году.</w:t>
      </w:r>
    </w:p>
    <w:p w:rsidR="00E631FB" w:rsidRPr="00387C95" w:rsidRDefault="00E631FB" w:rsidP="00CB2147">
      <w:pPr>
        <w:tabs>
          <w:tab w:val="left" w:pos="900"/>
        </w:tabs>
        <w:ind w:firstLine="900"/>
        <w:jc w:val="both"/>
      </w:pPr>
      <w:r w:rsidRPr="00387C95">
        <w:t xml:space="preserve">Система бюджетных правоотношений в Канашском районе регулируется Бюджетным Кодексом Российской Федерации, принятыми в соответствии с ним федеральными и республиканскими законами о бюджете на соответствующие годы и иными нормативными правовыми актами, регулирующими бюджетные правоотношения. </w:t>
      </w:r>
    </w:p>
    <w:p w:rsidR="00E631FB" w:rsidRPr="009116B0" w:rsidRDefault="00E631FB" w:rsidP="00CB2147">
      <w:pPr>
        <w:tabs>
          <w:tab w:val="left" w:pos="900"/>
        </w:tabs>
        <w:ind w:firstLine="900"/>
        <w:jc w:val="both"/>
      </w:pPr>
      <w:r w:rsidRPr="009116B0">
        <w:t xml:space="preserve">Консолидированный бюджет Канашского района на 01.01.2015 года выполнен по доходам на 99,6 % к годовому уточненному плану, при прогнозе годовом  </w:t>
      </w:r>
      <w:r w:rsidRPr="005D3CA1">
        <w:t>6</w:t>
      </w:r>
      <w:r>
        <w:t>53077,1</w:t>
      </w:r>
      <w:r w:rsidRPr="009116B0">
        <w:t xml:space="preserve"> тыс. руб.  поступило   доходов в сумме </w:t>
      </w:r>
      <w:r>
        <w:t>650616,0</w:t>
      </w:r>
      <w:r w:rsidRPr="009116B0">
        <w:t xml:space="preserve"> тыс. руб.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Прогноз по собственным доходам консолидированного бюджета выполнен на 99,3%, при плановых годовых назначениях 143690,3 тыс. руб. поступило 142823,1 тыс. руб.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В бюджет Канашского района поступило собственных доходов в сумме 72582,2 тыс. руб. при плановых годовых назначениях 72178,4 тыс. руб., т.е. выполнен на 100,6 %; в том числе по основным видам доходов: налог на доходы физических лиц-50680,8 тыс. руб. (101,2 % к году); единый налог на вмененный доход – 7294,7 тыс. руб. (102,2 %),  доходы от продажи материальных и нематериальных активов – 1738,0 тыс. руб. (97,6 %), штрафы – 1664,9 тыс. руб. (105,5 %).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В бюджеты сельских поселений поступило собственных доходов в сумме 70240,9 тыс. руб. при плановых годовых назначениях  71511,9 тыс. руб., т.е. на 98,2 %; в том числе по основным видам доходов: налог на доходы физических лиц - 9330,8 тыс. руб. (99,9 % к году); земельный налог– 6618,9 тыс. руб. (99,5 %),  аренда земли –5687,2 тыс. руб. (101,4 %), продажа материальных и нематериальных активов – 38946,6 тыс. руб. (98,3 %).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В бюджет Канашского района поступили безвозмездные перечисления  в сумме 507792,9 тыс. руб. при плановых годовых назначениях 509386,8 тыс. руб., т.е. выполнен на 99,7 %.</w:t>
      </w:r>
    </w:p>
    <w:p w:rsidR="00E631FB" w:rsidRPr="00225684" w:rsidRDefault="00E631FB" w:rsidP="00CB2147">
      <w:pPr>
        <w:tabs>
          <w:tab w:val="left" w:pos="900"/>
        </w:tabs>
        <w:ind w:firstLine="900"/>
        <w:jc w:val="both"/>
      </w:pPr>
      <w:r>
        <w:t xml:space="preserve">В бюджеты сельских поселений поступили безвозмездные перечисления в сумме 75442,6 тыс. руб. при плановых годовых назначениях 75489,7 тыс. руб., т.е. на  99,9 %.  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 xml:space="preserve">Консолидированный бюджет Канашского района по расходам исполнен на  640823,8 тыс. руб. при прогнозе 678179,9 тыс. руб., что составляет 94,5 % к годовым назначениям. Бюджет муниципального района по расходам исполнен на  594597,5 тыс. руб., при прогнозе  609505,1 тыс. руб., что составляет 97,6 % к годовым назначениям. Бюджеты сельских поселений по расходам выполнены на 130936,6 тыс. руб., при прогнозе 153408,4 тыс. руб., что составляет 85,3 % к годовым назначениям. 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В консолидированном бюджете района расходы на общегосударственные вопросы составили  69750,8 тыс. руб., при прогнозе  71314,8 тыс. руб., что составляет 97,8 %  к годовым назначениям.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 xml:space="preserve">В консолидированном бюджете расходы на жилищно-коммунальное  хозяйство составили 54069,7 тыс. руб., при прогнозе  73295,5 тыс. руб., что составляет 73,8 % к годовым назначениям, (в том числе по бюджету района 45683,5 тыс. руб., при прогнозе   58140,6 тыс. руб., что составляет 78,6 %). 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 xml:space="preserve">Расходы на  образование исполнены на 374117,3 тыс. руб., при прогнозе  375598,4  тыс. руб., что составляет 99,6 % к годовым назначениям. 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>
        <w:t>В консолидированном бюджете района расходы на культуру составили  39897,3 тыс. руб., при прогнозе  40243,3 тыс. руб., что составляет 99,1 % к годовым назначениям, (в том числе по бюджету района 9760,6 тыс. руб., при прогнозе  9760,6 тыс. руб., что составляет 100,0 % к годовым назначениям).</w:t>
      </w:r>
    </w:p>
    <w:p w:rsidR="00E631FB" w:rsidRPr="00387C95" w:rsidRDefault="00E631FB" w:rsidP="00CB2147">
      <w:pPr>
        <w:tabs>
          <w:tab w:val="left" w:pos="900"/>
        </w:tabs>
        <w:ind w:firstLine="900"/>
        <w:jc w:val="both"/>
      </w:pPr>
      <w:r>
        <w:t>В консолидированном бюджете расходы на социальную политику составили 28192,6 тыс. руб. при прогнозе 28714,2 тыс. руб., что составляет 98,2 % к годовым назначениям, (в том числе по бюджету района 27443,7 тыс. руб., при прогнозе  27965,3 тыс. руб., что составляет 98,1 % к годовым назначениям).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Предприниматели района активно участвуют в проводимом Правительством Республики конкурсном отборе для получения грантов на создание собственного бизнеса. Поддерживаются инициативы молодых граждан и начинающих предпринимателей для реализации проектов в сфере малого предпринимательства.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В 201</w:t>
      </w:r>
      <w:r>
        <w:t>4</w:t>
      </w:r>
      <w:r w:rsidRPr="009937AC">
        <w:t xml:space="preserve"> году Министерством экономического развития, промышленности и торговли Чувашской Республики </w:t>
      </w:r>
      <w:r>
        <w:t>предоставлено 20</w:t>
      </w:r>
      <w:r w:rsidRPr="003C4303">
        <w:t xml:space="preserve"> займов  субъектам малого предпринимательства, зарегистрированным на территории Ка</w:t>
      </w:r>
      <w:r>
        <w:t>нашского района, в размере 6000,0</w:t>
      </w:r>
      <w:r w:rsidRPr="003C4303">
        <w:t xml:space="preserve"> тыс. руб.</w:t>
      </w:r>
    </w:p>
    <w:p w:rsidR="00E631FB" w:rsidRPr="00225684" w:rsidRDefault="00E631FB" w:rsidP="00CB2147">
      <w:pPr>
        <w:tabs>
          <w:tab w:val="left" w:pos="900"/>
        </w:tabs>
        <w:ind w:firstLine="900"/>
        <w:jc w:val="both"/>
      </w:pPr>
      <w:r>
        <w:t xml:space="preserve">Высокой остается доля финансовой помощи за счет средств республиканского бюджета Чувашской Республики в общем объеме бюджета Канашского района. Так, в 2014 году доля средств республиканского бюджета в общем объеме доходов составила                   </w:t>
      </w:r>
      <w:r w:rsidRPr="00225684">
        <w:t xml:space="preserve">78 </w:t>
      </w:r>
      <w:r w:rsidRPr="00DE4148">
        <w:t>%</w:t>
      </w:r>
      <w:r>
        <w:t xml:space="preserve">, в 2013 году доля республиканских средств составила  </w:t>
      </w:r>
      <w:r w:rsidRPr="00225684">
        <w:t>83</w:t>
      </w:r>
      <w:r>
        <w:t>,</w:t>
      </w:r>
      <w:r w:rsidRPr="00225684">
        <w:t>3</w:t>
      </w:r>
      <w:r>
        <w:rPr>
          <w:color w:val="FF00FF"/>
        </w:rPr>
        <w:t xml:space="preserve"> </w:t>
      </w:r>
      <w:r>
        <w:t>%, по сравнению с 2013 годом ниже на 5,3 %.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В целях повышения  качества  управления финансами в Канашском районе приняты и реализуются  соответствующие нормативные правовые акты. Это   утвержденное Собранием депутатов Положение о реструктуризации общеобразовательных учреждений, Положение о порядке управления и распоряжения муниципальной собственностью Канашского района, Положение о резервном фонде главы администрации района,  Правила формирования заказов на поставки товаров, выполнение работ, оказание услуг для муниципальных нужд Канашского района и др.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 w:rsidRPr="009937AC">
        <w:t>В условиях функционирования финансового сектора на фоне продолжающегося кризиса предпринимается ряд  действий по  поддержке бюджетного сектора и  смягчению ситуации в ключевых  отраслях. В связи с этим проделана определенная работа по анализу текущей ситуации, выверены разные варианты  прогноза социально-экономического развития, проанализированы  параметры местного бюджета. Согласно  Налоговому   кодексу  решением Собрания депутатов освобождены от уплаты земельного налога муниципальные учреждения и объекты образования (школы, детские дошкольные учреждения), искусства, здравоохранения, социального обслуживания, культуры и спорта, финансируемые из местного бюджета Канашского района, земли, предоставляемые для обеспечения деятельности органов власти и управления, органов местного самоуправления, земли общего пользования населенных пунктов.  Проведена работа по созданию автономных учреждений. В целях обеспечения  эффективного расходования средств бюджетов всех уровней и внебюджетных источников финансирования  и упорядочения деятельности  муниципальных заказчиков Канашского района при  формировании заказов на поставки товаров, выполнение работ, оказание услуг  постановлением администрации района   утвержден  перечень мер по оптимизации бюджетных расходов, повышения эффективности в сфере размещения муниципального заказа,  установлена персональная ответственность  за размещение муниципального заказа на территории Канашского района в лице заместителя главы администрации.  Управление  образования администрации  района определен  уполномоченным органом по осуществлению функций  муниципальных заказчиков  по размещению заказов  для 58 образовательных учреждений, за исключением  подписания муниципальных контрактов.</w:t>
      </w:r>
      <w:r>
        <w:t xml:space="preserve"> </w:t>
      </w:r>
      <w:r w:rsidRPr="00F314DE">
        <w:t xml:space="preserve">Общая стоимость заключенных муниципальных контрактов и сделок  составила </w:t>
      </w:r>
      <w:r>
        <w:t>115,1</w:t>
      </w:r>
      <w:r w:rsidRPr="00F314DE">
        <w:t xml:space="preserve"> млн.</w:t>
      </w:r>
      <w:r>
        <w:t xml:space="preserve"> </w:t>
      </w:r>
      <w:r w:rsidRPr="00F314DE">
        <w:t>ру</w:t>
      </w:r>
      <w:r>
        <w:t>б. Бюджетная  эффективность 13,6</w:t>
      </w:r>
      <w:r w:rsidRPr="00F314DE">
        <w:t xml:space="preserve"> млн. руб., что составляет 10</w:t>
      </w:r>
      <w:r>
        <w:t xml:space="preserve">,6 </w:t>
      </w:r>
      <w:r w:rsidRPr="00F314DE">
        <w:t xml:space="preserve">%.  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 xml:space="preserve">Главная задача в бюджетной политике района состоит в совершенствовании системы управления муниципальными финансами Канашского района, повышении эффективности бюджетного процесса и межбюджетных отношений, развитии бюджетирования,  ориентированного на результат, и наиболее полном удовлетворении потребностей населения в бюджетных услугах. 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Развитие доходной базы, создание условий для увеличения поступлений доходов в бюджет, в ближайшей перспективе  позволит   снизить  уровень дотационности бюджета района и сельских поселений.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Высокая зависимость  бюджетных поступлений  муниципальных образований  от деятельности  бюджетообразующих предприятий  и низкая адаптивность данных предприятий к резко меняющейся  конъюнктуре рынка обуславливают необходимость развития предпринимательства  в качестве  альтернативного источника доходов. Развитие  промышленных  малых предприятий обрабатывающих отраслей будет способствовать  повышению доли обрабатывающих производств.  В районе особое внимание   уделяется  развитию малого бизнеса в сервисных отраслях.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В 201</w:t>
      </w:r>
      <w:r>
        <w:t>4</w:t>
      </w:r>
      <w:r w:rsidRPr="009937AC">
        <w:t xml:space="preserve"> г. введено в эксплуата</w:t>
      </w:r>
      <w:r>
        <w:t xml:space="preserve">цию 26,6 тыс. кв. метров  жилья, </w:t>
      </w:r>
      <w:r w:rsidRPr="00F314DE">
        <w:t xml:space="preserve"> в том числе по стандартам экономкласса   </w:t>
      </w:r>
      <w:r>
        <w:t>11,9 тыс.</w:t>
      </w:r>
      <w:r w:rsidRPr="00F314DE">
        <w:t xml:space="preserve"> кв. метров</w:t>
      </w:r>
      <w:r>
        <w:t>.</w:t>
      </w:r>
      <w:r w:rsidRPr="009937AC">
        <w:t xml:space="preserve"> Финансовое состояние  жилищно-коммунального хозяйства остается сл</w:t>
      </w:r>
      <w:r>
        <w:t xml:space="preserve">ожным. </w:t>
      </w:r>
      <w:r w:rsidRPr="009937AC">
        <w:t xml:space="preserve">Отмечается высокая степень износа объектов  инженерной инфраструктуры жилищно-коммунального хозяйства,  недостаточное обновление основных фондов. Наблюдается отсутствие собственных инвестиционных ресурсов для их обновления, которые отражаются  на качестве и конкурентоспособности предоставляемых услуг. 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Основные усилия органов местного самоуправления Канашского района  в предстоящий период будут нацелены на реализацию следующих направлений: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наращивание производства сельскохозяйственной и промышленной  продукции;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повышение обеспеченности населения благоустроенным жильем и качественными коммунальными услугами;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развитие малого и среднего бизнеса, оказание поддержки развитию промышленных и инновационных малых предприятий;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 w:rsidRPr="009937AC">
        <w:t>усиление экологического регулирования;</w:t>
      </w:r>
    </w:p>
    <w:p w:rsidR="00E631FB" w:rsidRDefault="00E631FB" w:rsidP="00CB2147">
      <w:pPr>
        <w:tabs>
          <w:tab w:val="left" w:pos="900"/>
        </w:tabs>
        <w:ind w:firstLine="900"/>
        <w:jc w:val="both"/>
      </w:pPr>
      <w:r w:rsidRPr="00F314DE">
        <w:t>продолжение работ по газификации;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F314DE">
        <w:t>рост доходов населения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>повышение качества и доступности социальных услуг, включая услуги органов исполнительной власти;</w:t>
      </w:r>
    </w:p>
    <w:p w:rsidR="00E631FB" w:rsidRPr="009937AC" w:rsidRDefault="00E631FB" w:rsidP="00CB2147">
      <w:pPr>
        <w:tabs>
          <w:tab w:val="left" w:pos="900"/>
        </w:tabs>
        <w:ind w:firstLine="900"/>
        <w:jc w:val="both"/>
      </w:pPr>
      <w:r w:rsidRPr="009937AC">
        <w:t xml:space="preserve">обеспечения информационной открытости деятельности органов местного самоуправления  Канашского района, повышения качества и доступности  предоставляемых ими муниципальных услуг, перевод в электронный вид </w:t>
      </w:r>
      <w:r>
        <w:t>и</w:t>
      </w:r>
      <w:r w:rsidRPr="009937AC">
        <w:t xml:space="preserve"> оказание муниципальных услуг и др.</w:t>
      </w:r>
    </w:p>
    <w:sectPr w:rsidR="00E631FB" w:rsidRPr="009937AC" w:rsidSect="005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0D"/>
    <w:rsid w:val="000024CB"/>
    <w:rsid w:val="00004747"/>
    <w:rsid w:val="0000476B"/>
    <w:rsid w:val="0001156C"/>
    <w:rsid w:val="00020B80"/>
    <w:rsid w:val="00043E67"/>
    <w:rsid w:val="00051B4B"/>
    <w:rsid w:val="00054EDB"/>
    <w:rsid w:val="000568C6"/>
    <w:rsid w:val="0006013E"/>
    <w:rsid w:val="00071842"/>
    <w:rsid w:val="000950F2"/>
    <w:rsid w:val="000A3799"/>
    <w:rsid w:val="000A7943"/>
    <w:rsid w:val="000B3DD8"/>
    <w:rsid w:val="000C194E"/>
    <w:rsid w:val="000C1A75"/>
    <w:rsid w:val="000C39DE"/>
    <w:rsid w:val="000E6BE0"/>
    <w:rsid w:val="000F345F"/>
    <w:rsid w:val="00132BB9"/>
    <w:rsid w:val="00141CF3"/>
    <w:rsid w:val="00151256"/>
    <w:rsid w:val="001A479B"/>
    <w:rsid w:val="001A7560"/>
    <w:rsid w:val="001B715A"/>
    <w:rsid w:val="001B7312"/>
    <w:rsid w:val="001D64CB"/>
    <w:rsid w:val="001D7861"/>
    <w:rsid w:val="001F04C9"/>
    <w:rsid w:val="002001FC"/>
    <w:rsid w:val="00203111"/>
    <w:rsid w:val="00206DA7"/>
    <w:rsid w:val="00211439"/>
    <w:rsid w:val="00213C74"/>
    <w:rsid w:val="00217844"/>
    <w:rsid w:val="00221D0D"/>
    <w:rsid w:val="00225684"/>
    <w:rsid w:val="00244A4C"/>
    <w:rsid w:val="00251ECF"/>
    <w:rsid w:val="002523D4"/>
    <w:rsid w:val="00256F53"/>
    <w:rsid w:val="0026124B"/>
    <w:rsid w:val="00264502"/>
    <w:rsid w:val="002872EE"/>
    <w:rsid w:val="002A079F"/>
    <w:rsid w:val="002A0EA8"/>
    <w:rsid w:val="002A15CA"/>
    <w:rsid w:val="002A7E4A"/>
    <w:rsid w:val="002B3778"/>
    <w:rsid w:val="002B4BDF"/>
    <w:rsid w:val="002D4A60"/>
    <w:rsid w:val="002D5698"/>
    <w:rsid w:val="002E3ABD"/>
    <w:rsid w:val="002F5718"/>
    <w:rsid w:val="002F746C"/>
    <w:rsid w:val="002F7A8C"/>
    <w:rsid w:val="00304595"/>
    <w:rsid w:val="003108CE"/>
    <w:rsid w:val="00317369"/>
    <w:rsid w:val="003331F6"/>
    <w:rsid w:val="003506D7"/>
    <w:rsid w:val="003516C7"/>
    <w:rsid w:val="00384AFD"/>
    <w:rsid w:val="00387C95"/>
    <w:rsid w:val="003A01F2"/>
    <w:rsid w:val="003A4B86"/>
    <w:rsid w:val="003B1425"/>
    <w:rsid w:val="003B72AF"/>
    <w:rsid w:val="003C4303"/>
    <w:rsid w:val="003C6FA1"/>
    <w:rsid w:val="003C7701"/>
    <w:rsid w:val="003C7AA0"/>
    <w:rsid w:val="003D7B0F"/>
    <w:rsid w:val="003F65F3"/>
    <w:rsid w:val="00402B7A"/>
    <w:rsid w:val="00422385"/>
    <w:rsid w:val="004327F6"/>
    <w:rsid w:val="004466BF"/>
    <w:rsid w:val="004473F4"/>
    <w:rsid w:val="00466CA2"/>
    <w:rsid w:val="004705CB"/>
    <w:rsid w:val="004705D1"/>
    <w:rsid w:val="00477D46"/>
    <w:rsid w:val="004C45B4"/>
    <w:rsid w:val="004D1C8D"/>
    <w:rsid w:val="004D66DE"/>
    <w:rsid w:val="004D72FF"/>
    <w:rsid w:val="004F181D"/>
    <w:rsid w:val="00502CA5"/>
    <w:rsid w:val="00504340"/>
    <w:rsid w:val="00510B96"/>
    <w:rsid w:val="0051198F"/>
    <w:rsid w:val="00527503"/>
    <w:rsid w:val="00535D37"/>
    <w:rsid w:val="00543102"/>
    <w:rsid w:val="005441A7"/>
    <w:rsid w:val="00563628"/>
    <w:rsid w:val="00572542"/>
    <w:rsid w:val="00580EDD"/>
    <w:rsid w:val="0058234E"/>
    <w:rsid w:val="00585863"/>
    <w:rsid w:val="005B03BA"/>
    <w:rsid w:val="005B2BCC"/>
    <w:rsid w:val="005D1EF7"/>
    <w:rsid w:val="005D3CA1"/>
    <w:rsid w:val="005E1D07"/>
    <w:rsid w:val="005E6BCA"/>
    <w:rsid w:val="006303B7"/>
    <w:rsid w:val="0063195A"/>
    <w:rsid w:val="00634ED7"/>
    <w:rsid w:val="006369E3"/>
    <w:rsid w:val="00640131"/>
    <w:rsid w:val="00640308"/>
    <w:rsid w:val="006404BD"/>
    <w:rsid w:val="00656ED3"/>
    <w:rsid w:val="006621DA"/>
    <w:rsid w:val="0066580F"/>
    <w:rsid w:val="006711B8"/>
    <w:rsid w:val="00685C0F"/>
    <w:rsid w:val="0068679E"/>
    <w:rsid w:val="006951E4"/>
    <w:rsid w:val="006A3FE8"/>
    <w:rsid w:val="006A4D3D"/>
    <w:rsid w:val="006C2435"/>
    <w:rsid w:val="006E0395"/>
    <w:rsid w:val="006E47E0"/>
    <w:rsid w:val="006F6A1B"/>
    <w:rsid w:val="00710AF5"/>
    <w:rsid w:val="00770245"/>
    <w:rsid w:val="00771184"/>
    <w:rsid w:val="00786ED9"/>
    <w:rsid w:val="00787FB7"/>
    <w:rsid w:val="007A30ED"/>
    <w:rsid w:val="007A357D"/>
    <w:rsid w:val="007C6B02"/>
    <w:rsid w:val="007D18B0"/>
    <w:rsid w:val="007D1A8B"/>
    <w:rsid w:val="007D6387"/>
    <w:rsid w:val="007E0EEC"/>
    <w:rsid w:val="007E48CF"/>
    <w:rsid w:val="007E6DCA"/>
    <w:rsid w:val="007F274B"/>
    <w:rsid w:val="007F4910"/>
    <w:rsid w:val="00815252"/>
    <w:rsid w:val="00821AAD"/>
    <w:rsid w:val="0083420D"/>
    <w:rsid w:val="0083690E"/>
    <w:rsid w:val="00837E80"/>
    <w:rsid w:val="008421BD"/>
    <w:rsid w:val="00846E25"/>
    <w:rsid w:val="0085226C"/>
    <w:rsid w:val="00854EB6"/>
    <w:rsid w:val="00857117"/>
    <w:rsid w:val="00857C01"/>
    <w:rsid w:val="00860A5C"/>
    <w:rsid w:val="008823BD"/>
    <w:rsid w:val="008871C4"/>
    <w:rsid w:val="00892542"/>
    <w:rsid w:val="00896757"/>
    <w:rsid w:val="008A0B85"/>
    <w:rsid w:val="008A3DE8"/>
    <w:rsid w:val="008A7DB0"/>
    <w:rsid w:val="008B082C"/>
    <w:rsid w:val="008B7E00"/>
    <w:rsid w:val="008C7B1D"/>
    <w:rsid w:val="008D3706"/>
    <w:rsid w:val="008E6B86"/>
    <w:rsid w:val="00903EBA"/>
    <w:rsid w:val="00903F6B"/>
    <w:rsid w:val="009116B0"/>
    <w:rsid w:val="009147CA"/>
    <w:rsid w:val="0093016A"/>
    <w:rsid w:val="009426F8"/>
    <w:rsid w:val="00943039"/>
    <w:rsid w:val="00945830"/>
    <w:rsid w:val="009470A1"/>
    <w:rsid w:val="009701A7"/>
    <w:rsid w:val="00992D3A"/>
    <w:rsid w:val="009937AC"/>
    <w:rsid w:val="00995950"/>
    <w:rsid w:val="009B1179"/>
    <w:rsid w:val="009B1666"/>
    <w:rsid w:val="009B4E4F"/>
    <w:rsid w:val="009C368F"/>
    <w:rsid w:val="009D6735"/>
    <w:rsid w:val="009E018A"/>
    <w:rsid w:val="009E618B"/>
    <w:rsid w:val="009F4447"/>
    <w:rsid w:val="00A076F9"/>
    <w:rsid w:val="00A100BC"/>
    <w:rsid w:val="00A21B40"/>
    <w:rsid w:val="00A22746"/>
    <w:rsid w:val="00A40E78"/>
    <w:rsid w:val="00A44C76"/>
    <w:rsid w:val="00A45819"/>
    <w:rsid w:val="00A45898"/>
    <w:rsid w:val="00A57355"/>
    <w:rsid w:val="00A66B4F"/>
    <w:rsid w:val="00A81E6B"/>
    <w:rsid w:val="00AB0502"/>
    <w:rsid w:val="00AB442F"/>
    <w:rsid w:val="00AC6532"/>
    <w:rsid w:val="00AD1869"/>
    <w:rsid w:val="00AD2F74"/>
    <w:rsid w:val="00AD7D85"/>
    <w:rsid w:val="00AE4E14"/>
    <w:rsid w:val="00AF56C7"/>
    <w:rsid w:val="00B11A17"/>
    <w:rsid w:val="00B2051A"/>
    <w:rsid w:val="00B35D6E"/>
    <w:rsid w:val="00B450E2"/>
    <w:rsid w:val="00B45750"/>
    <w:rsid w:val="00B67580"/>
    <w:rsid w:val="00B70E09"/>
    <w:rsid w:val="00B74A12"/>
    <w:rsid w:val="00B75190"/>
    <w:rsid w:val="00B77649"/>
    <w:rsid w:val="00BB1DC8"/>
    <w:rsid w:val="00BD0F1E"/>
    <w:rsid w:val="00BD372E"/>
    <w:rsid w:val="00BE06E5"/>
    <w:rsid w:val="00C040E7"/>
    <w:rsid w:val="00C04D3D"/>
    <w:rsid w:val="00C071A2"/>
    <w:rsid w:val="00C229D7"/>
    <w:rsid w:val="00C460A5"/>
    <w:rsid w:val="00C53E69"/>
    <w:rsid w:val="00C56EEF"/>
    <w:rsid w:val="00C72FB3"/>
    <w:rsid w:val="00C84C34"/>
    <w:rsid w:val="00C906A2"/>
    <w:rsid w:val="00C9650F"/>
    <w:rsid w:val="00CA641F"/>
    <w:rsid w:val="00CB2147"/>
    <w:rsid w:val="00CB4424"/>
    <w:rsid w:val="00CB532F"/>
    <w:rsid w:val="00CC294B"/>
    <w:rsid w:val="00CF52B9"/>
    <w:rsid w:val="00CF57B5"/>
    <w:rsid w:val="00D127A0"/>
    <w:rsid w:val="00D14962"/>
    <w:rsid w:val="00D30F8A"/>
    <w:rsid w:val="00D3444B"/>
    <w:rsid w:val="00D3502E"/>
    <w:rsid w:val="00D35594"/>
    <w:rsid w:val="00D4714E"/>
    <w:rsid w:val="00D53AB5"/>
    <w:rsid w:val="00D54257"/>
    <w:rsid w:val="00D624F0"/>
    <w:rsid w:val="00D669CB"/>
    <w:rsid w:val="00D8354A"/>
    <w:rsid w:val="00D86DBD"/>
    <w:rsid w:val="00D876A1"/>
    <w:rsid w:val="00D94CE4"/>
    <w:rsid w:val="00DB4D06"/>
    <w:rsid w:val="00DB6665"/>
    <w:rsid w:val="00DE0749"/>
    <w:rsid w:val="00DE4148"/>
    <w:rsid w:val="00DE6C5D"/>
    <w:rsid w:val="00DF1680"/>
    <w:rsid w:val="00DF356E"/>
    <w:rsid w:val="00E00FFE"/>
    <w:rsid w:val="00E04102"/>
    <w:rsid w:val="00E066B8"/>
    <w:rsid w:val="00E16FC4"/>
    <w:rsid w:val="00E22E03"/>
    <w:rsid w:val="00E23F58"/>
    <w:rsid w:val="00E33AED"/>
    <w:rsid w:val="00E51CB0"/>
    <w:rsid w:val="00E54D69"/>
    <w:rsid w:val="00E631FB"/>
    <w:rsid w:val="00E64AD5"/>
    <w:rsid w:val="00E7104B"/>
    <w:rsid w:val="00E71505"/>
    <w:rsid w:val="00E72A59"/>
    <w:rsid w:val="00E73AB1"/>
    <w:rsid w:val="00E74B82"/>
    <w:rsid w:val="00E74BC8"/>
    <w:rsid w:val="00E95895"/>
    <w:rsid w:val="00EA1611"/>
    <w:rsid w:val="00EA2447"/>
    <w:rsid w:val="00EB1487"/>
    <w:rsid w:val="00EC43E0"/>
    <w:rsid w:val="00ED28C8"/>
    <w:rsid w:val="00ED7DE1"/>
    <w:rsid w:val="00EE7336"/>
    <w:rsid w:val="00EF6E5F"/>
    <w:rsid w:val="00EF7566"/>
    <w:rsid w:val="00F00D61"/>
    <w:rsid w:val="00F06719"/>
    <w:rsid w:val="00F24305"/>
    <w:rsid w:val="00F26421"/>
    <w:rsid w:val="00F314DE"/>
    <w:rsid w:val="00F450D0"/>
    <w:rsid w:val="00F45F19"/>
    <w:rsid w:val="00F52273"/>
    <w:rsid w:val="00F52C22"/>
    <w:rsid w:val="00F56189"/>
    <w:rsid w:val="00F65AA0"/>
    <w:rsid w:val="00F73945"/>
    <w:rsid w:val="00F7520A"/>
    <w:rsid w:val="00F82287"/>
    <w:rsid w:val="00F94DF1"/>
    <w:rsid w:val="00FA243C"/>
    <w:rsid w:val="00FA28DF"/>
    <w:rsid w:val="00FB2507"/>
    <w:rsid w:val="00FB2FE6"/>
    <w:rsid w:val="00FC1444"/>
    <w:rsid w:val="00FD0B4F"/>
    <w:rsid w:val="00FD3449"/>
    <w:rsid w:val="00FD6D82"/>
    <w:rsid w:val="00FD7203"/>
    <w:rsid w:val="00FE07D8"/>
    <w:rsid w:val="00FF5BE5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0E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1662</Words>
  <Characters>9475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Татьяна А. Смирнова</dc:creator>
  <cp:keywords/>
  <dc:description/>
  <cp:lastModifiedBy>economy1</cp:lastModifiedBy>
  <cp:revision>24</cp:revision>
  <cp:lastPrinted>2015-04-29T08:01:00Z</cp:lastPrinted>
  <dcterms:created xsi:type="dcterms:W3CDTF">2015-04-28T11:03:00Z</dcterms:created>
  <dcterms:modified xsi:type="dcterms:W3CDTF">2015-04-29T08:34:00Z</dcterms:modified>
</cp:coreProperties>
</file>