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1C" w:rsidRDefault="00662C1C">
      <w:pPr>
        <w:pStyle w:val="ConsPlusTitlePage"/>
      </w:pPr>
      <w:bookmarkStart w:id="0" w:name="_GoBack"/>
      <w:bookmarkEnd w:id="0"/>
      <w:r>
        <w:br/>
      </w:r>
    </w:p>
    <w:p w:rsidR="00662C1C" w:rsidRDefault="00662C1C">
      <w:pPr>
        <w:pStyle w:val="ConsPlusNormal"/>
        <w:outlineLvl w:val="0"/>
      </w:pPr>
    </w:p>
    <w:p w:rsidR="00662C1C" w:rsidRDefault="00662C1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62C1C" w:rsidRDefault="00662C1C">
      <w:pPr>
        <w:pStyle w:val="ConsPlusTitle"/>
        <w:jc w:val="center"/>
      </w:pPr>
    </w:p>
    <w:p w:rsidR="00662C1C" w:rsidRDefault="00662C1C">
      <w:pPr>
        <w:pStyle w:val="ConsPlusTitle"/>
        <w:jc w:val="center"/>
      </w:pPr>
      <w:r>
        <w:t>ПОСТАНОВЛЕНИЕ</w:t>
      </w:r>
    </w:p>
    <w:p w:rsidR="00662C1C" w:rsidRDefault="00662C1C">
      <w:pPr>
        <w:pStyle w:val="ConsPlusTitle"/>
        <w:jc w:val="center"/>
      </w:pPr>
      <w:r>
        <w:t>от 26 июня 2014 г. N 211</w:t>
      </w:r>
    </w:p>
    <w:p w:rsidR="00662C1C" w:rsidRDefault="00662C1C">
      <w:pPr>
        <w:pStyle w:val="ConsPlusTitle"/>
        <w:jc w:val="center"/>
      </w:pPr>
    </w:p>
    <w:p w:rsidR="00662C1C" w:rsidRDefault="00662C1C">
      <w:pPr>
        <w:pStyle w:val="ConsPlusTitle"/>
        <w:jc w:val="center"/>
      </w:pPr>
      <w:r>
        <w:t>ОБ УТВЕРЖДЕНИИ НОРМАТИВА ПОТРЕБЛЕНИЯ КОММУНАЛЬНОЙ УСЛУГИ</w:t>
      </w:r>
    </w:p>
    <w:p w:rsidR="00662C1C" w:rsidRDefault="00662C1C">
      <w:pPr>
        <w:pStyle w:val="ConsPlusTitle"/>
        <w:jc w:val="center"/>
      </w:pPr>
      <w:r>
        <w:t>ПО ОТОПЛЕНИЮ В ЖИЛЫХ ПОМЕЩЕНИЯХ НА ТЕРРИТОРИИ</w:t>
      </w:r>
    </w:p>
    <w:p w:rsidR="00662C1C" w:rsidRDefault="00662C1C">
      <w:pPr>
        <w:pStyle w:val="ConsPlusTitle"/>
        <w:jc w:val="center"/>
      </w:pPr>
      <w:r>
        <w:t>ЧУВАШСКОЙ РЕСПУБЛИКИ И О ВНЕСЕНИИ ИЗМЕНЕНИЙ В ПОСТАНОВЛЕНИЕ</w:t>
      </w:r>
    </w:p>
    <w:p w:rsidR="00662C1C" w:rsidRDefault="00662C1C">
      <w:pPr>
        <w:pStyle w:val="ConsPlusTitle"/>
        <w:jc w:val="center"/>
      </w:pPr>
      <w:r>
        <w:t>КАБИНЕТА МИНИСТРОВ ЧУВАШСКОЙ РЕСПУБЛИКИ</w:t>
      </w:r>
    </w:p>
    <w:p w:rsidR="00662C1C" w:rsidRDefault="00662C1C">
      <w:pPr>
        <w:pStyle w:val="ConsPlusTitle"/>
        <w:jc w:val="center"/>
      </w:pPr>
      <w:r>
        <w:t>ОТ 4 СЕНТЯБРЯ 2012 Г. N 370</w:t>
      </w:r>
    </w:p>
    <w:p w:rsidR="00662C1C" w:rsidRDefault="00662C1C">
      <w:pPr>
        <w:pStyle w:val="ConsPlusNormal"/>
        <w:jc w:val="center"/>
      </w:pPr>
    </w:p>
    <w:p w:rsidR="00662C1C" w:rsidRDefault="00662C1C">
      <w:pPr>
        <w:pStyle w:val="ConsPlusNormal"/>
        <w:jc w:val="center"/>
      </w:pPr>
      <w:r>
        <w:t>Список изменяющих документов</w:t>
      </w:r>
    </w:p>
    <w:p w:rsidR="00662C1C" w:rsidRDefault="00662C1C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662C1C" w:rsidRDefault="00662C1C">
      <w:pPr>
        <w:pStyle w:val="ConsPlusNormal"/>
        <w:jc w:val="center"/>
      </w:pPr>
      <w:r>
        <w:t xml:space="preserve">от 28.01.2015 </w:t>
      </w:r>
      <w:hyperlink r:id="rId5" w:history="1">
        <w:r>
          <w:rPr>
            <w:color w:val="0000FF"/>
          </w:rPr>
          <w:t>N 7</w:t>
        </w:r>
      </w:hyperlink>
      <w:r>
        <w:t xml:space="preserve">, от 11.08.2016 </w:t>
      </w:r>
      <w:hyperlink r:id="rId6" w:history="1">
        <w:r>
          <w:rPr>
            <w:color w:val="0000FF"/>
          </w:rPr>
          <w:t>N 319</w:t>
        </w:r>
      </w:hyperlink>
      <w:r>
        <w:t>)</w:t>
      </w:r>
    </w:p>
    <w:p w:rsidR="00662C1C" w:rsidRDefault="00662C1C">
      <w:pPr>
        <w:pStyle w:val="ConsPlusNormal"/>
        <w:jc w:val="center"/>
      </w:pPr>
    </w:p>
    <w:p w:rsidR="00662C1C" w:rsidRDefault="00662C1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Кабинет Министров Чувашской Республики постановляет:</w:t>
      </w:r>
    </w:p>
    <w:p w:rsidR="00662C1C" w:rsidRDefault="00662C1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отоплению в жилых помещениях на территории Чувашской Республики.</w:t>
      </w:r>
    </w:p>
    <w:p w:rsidR="00662C1C" w:rsidRDefault="00662C1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сентября 2012 г. N 370 "Об утверждении нормативов потребления коммунальных услуг по холодному и горячему водоснабжению, водоотведению и об особенностях расчета размера платы за коммунальную услугу по отоплению на территории Чувашской Республики" (с изменениями, внесенными постановлениями Кабинета Министров Чувашской Республики от 24 апреля 2013 г. N 158, от 16 мая 2013</w:t>
      </w:r>
      <w:proofErr w:type="gramEnd"/>
      <w:r>
        <w:t xml:space="preserve"> г. N 172, от 13 ноября 2013 г. N 443) следующие изменения:</w:t>
      </w:r>
    </w:p>
    <w:p w:rsidR="00662C1C" w:rsidRDefault="00662C1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62C1C" w:rsidRDefault="00662C1C">
      <w:pPr>
        <w:pStyle w:val="ConsPlusNormal"/>
        <w:ind w:firstLine="540"/>
        <w:jc w:val="both"/>
      </w:pPr>
      <w:r>
        <w:t>"Об утверждении нормативов потребления коммунальных услуг по холодному и горячему водоснабжению, водоотведению на территории Чувашской Республики";</w:t>
      </w:r>
    </w:p>
    <w:p w:rsidR="00662C1C" w:rsidRDefault="00662C1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662C1C" w:rsidRDefault="00662C1C">
      <w:pPr>
        <w:pStyle w:val="ConsPlusNormal"/>
        <w:ind w:firstLine="540"/>
        <w:jc w:val="both"/>
      </w:pPr>
      <w:r>
        <w:t>3. Настоящее постановление вступает в силу с 1 августа 2014 г., но не ранее чем через десять дней после дня его официального опубликования.</w:t>
      </w:r>
    </w:p>
    <w:p w:rsidR="00662C1C" w:rsidRDefault="00662C1C">
      <w:pPr>
        <w:pStyle w:val="ConsPlusNormal"/>
        <w:ind w:firstLine="540"/>
        <w:jc w:val="both"/>
      </w:pPr>
    </w:p>
    <w:p w:rsidR="00662C1C" w:rsidRDefault="00662C1C">
      <w:pPr>
        <w:pStyle w:val="ConsPlusNormal"/>
        <w:jc w:val="right"/>
      </w:pPr>
      <w:r>
        <w:t>Председатель Кабинета Министров</w:t>
      </w:r>
    </w:p>
    <w:p w:rsidR="00662C1C" w:rsidRDefault="00662C1C">
      <w:pPr>
        <w:pStyle w:val="ConsPlusNormal"/>
        <w:jc w:val="right"/>
      </w:pPr>
      <w:r>
        <w:t>Чувашской Республики</w:t>
      </w:r>
    </w:p>
    <w:p w:rsidR="00662C1C" w:rsidRDefault="00662C1C">
      <w:pPr>
        <w:pStyle w:val="ConsPlusNormal"/>
        <w:jc w:val="right"/>
      </w:pPr>
      <w:r>
        <w:t>И.МОТОРИН</w:t>
      </w:r>
    </w:p>
    <w:p w:rsidR="00662C1C" w:rsidRDefault="00662C1C">
      <w:pPr>
        <w:pStyle w:val="ConsPlusNormal"/>
        <w:jc w:val="right"/>
      </w:pPr>
    </w:p>
    <w:p w:rsidR="00662C1C" w:rsidRDefault="00662C1C">
      <w:pPr>
        <w:pStyle w:val="ConsPlusNormal"/>
        <w:jc w:val="right"/>
      </w:pPr>
    </w:p>
    <w:p w:rsidR="00662C1C" w:rsidRDefault="00662C1C">
      <w:pPr>
        <w:pStyle w:val="ConsPlusNormal"/>
        <w:jc w:val="right"/>
      </w:pPr>
    </w:p>
    <w:p w:rsidR="00662C1C" w:rsidRDefault="00662C1C">
      <w:pPr>
        <w:pStyle w:val="ConsPlusNormal"/>
        <w:jc w:val="right"/>
      </w:pPr>
    </w:p>
    <w:p w:rsidR="00662C1C" w:rsidRDefault="00662C1C">
      <w:pPr>
        <w:pStyle w:val="ConsPlusNormal"/>
        <w:jc w:val="right"/>
      </w:pPr>
    </w:p>
    <w:p w:rsidR="00662C1C" w:rsidRDefault="00662C1C">
      <w:pPr>
        <w:sectPr w:rsidR="00662C1C" w:rsidSect="00D66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C1C" w:rsidRDefault="00662C1C">
      <w:pPr>
        <w:pStyle w:val="ConsPlusNormal"/>
        <w:jc w:val="right"/>
        <w:outlineLvl w:val="0"/>
      </w:pPr>
      <w:r>
        <w:lastRenderedPageBreak/>
        <w:t>Утвержден</w:t>
      </w:r>
    </w:p>
    <w:p w:rsidR="00662C1C" w:rsidRDefault="00662C1C">
      <w:pPr>
        <w:pStyle w:val="ConsPlusNormal"/>
        <w:jc w:val="right"/>
      </w:pPr>
      <w:r>
        <w:t>постановлением</w:t>
      </w:r>
    </w:p>
    <w:p w:rsidR="00662C1C" w:rsidRDefault="00662C1C">
      <w:pPr>
        <w:pStyle w:val="ConsPlusNormal"/>
        <w:jc w:val="right"/>
      </w:pPr>
      <w:r>
        <w:t>Кабинета Министров</w:t>
      </w:r>
    </w:p>
    <w:p w:rsidR="00662C1C" w:rsidRDefault="00662C1C">
      <w:pPr>
        <w:pStyle w:val="ConsPlusNormal"/>
        <w:jc w:val="right"/>
      </w:pPr>
      <w:r>
        <w:t>Чувашской Республики</w:t>
      </w:r>
    </w:p>
    <w:p w:rsidR="00662C1C" w:rsidRDefault="00662C1C">
      <w:pPr>
        <w:pStyle w:val="ConsPlusNormal"/>
        <w:jc w:val="right"/>
      </w:pPr>
      <w:r>
        <w:t>от 26.06.2014 N 211</w:t>
      </w:r>
    </w:p>
    <w:p w:rsidR="00662C1C" w:rsidRDefault="00662C1C">
      <w:pPr>
        <w:pStyle w:val="ConsPlusNormal"/>
        <w:jc w:val="center"/>
      </w:pPr>
    </w:p>
    <w:p w:rsidR="00662C1C" w:rsidRDefault="00662C1C">
      <w:pPr>
        <w:pStyle w:val="ConsPlusTitle"/>
        <w:jc w:val="center"/>
      </w:pPr>
      <w:bookmarkStart w:id="1" w:name="P38"/>
      <w:bookmarkEnd w:id="1"/>
      <w:r>
        <w:t>НОРМАТИВ ПОТРЕБЛЕНИЯ</w:t>
      </w:r>
    </w:p>
    <w:p w:rsidR="00662C1C" w:rsidRDefault="00662C1C">
      <w:pPr>
        <w:pStyle w:val="ConsPlusTitle"/>
        <w:jc w:val="center"/>
      </w:pPr>
      <w:r>
        <w:t>КОММУНАЛЬНОЙ УСЛУГИ ПО ОТОПЛЕНИЮ В ЖИЛЫХ ПОМЕЩЕНИЯХ</w:t>
      </w:r>
    </w:p>
    <w:p w:rsidR="00662C1C" w:rsidRDefault="00662C1C">
      <w:pPr>
        <w:pStyle w:val="ConsPlusTitle"/>
        <w:jc w:val="center"/>
      </w:pPr>
      <w:r>
        <w:t xml:space="preserve">НА ТЕРРИТОРИИ ЧУВАШСКОЙ РЕСПУБЛИКИ </w:t>
      </w:r>
      <w:hyperlink w:anchor="P1078" w:history="1">
        <w:r>
          <w:rPr>
            <w:color w:val="0000FF"/>
          </w:rPr>
          <w:t>&lt;*&gt;</w:t>
        </w:r>
      </w:hyperlink>
    </w:p>
    <w:p w:rsidR="00662C1C" w:rsidRDefault="00662C1C">
      <w:pPr>
        <w:pStyle w:val="ConsPlusNormal"/>
        <w:jc w:val="center"/>
      </w:pPr>
    </w:p>
    <w:p w:rsidR="00662C1C" w:rsidRDefault="00662C1C">
      <w:pPr>
        <w:pStyle w:val="ConsPlusNormal"/>
        <w:jc w:val="center"/>
      </w:pPr>
      <w:r>
        <w:t>Список изменяющих документов</w:t>
      </w:r>
    </w:p>
    <w:p w:rsidR="00662C1C" w:rsidRDefault="00662C1C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662C1C" w:rsidRDefault="00662C1C">
      <w:pPr>
        <w:pStyle w:val="ConsPlusNormal"/>
        <w:jc w:val="center"/>
      </w:pPr>
      <w:r>
        <w:t xml:space="preserve">от 28.01.2015 </w:t>
      </w:r>
      <w:hyperlink r:id="rId12" w:history="1">
        <w:r>
          <w:rPr>
            <w:color w:val="0000FF"/>
          </w:rPr>
          <w:t>N 7</w:t>
        </w:r>
      </w:hyperlink>
      <w:r>
        <w:t xml:space="preserve">, от 11.08.2016 </w:t>
      </w:r>
      <w:hyperlink r:id="rId13" w:history="1">
        <w:r>
          <w:rPr>
            <w:color w:val="0000FF"/>
          </w:rPr>
          <w:t>N 319</w:t>
        </w:r>
      </w:hyperlink>
      <w:r>
        <w:t>)</w:t>
      </w:r>
    </w:p>
    <w:p w:rsidR="00662C1C" w:rsidRDefault="00662C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7"/>
        <w:gridCol w:w="983"/>
        <w:gridCol w:w="1080"/>
        <w:gridCol w:w="1080"/>
        <w:gridCol w:w="960"/>
        <w:gridCol w:w="1080"/>
        <w:gridCol w:w="960"/>
        <w:gridCol w:w="960"/>
        <w:gridCol w:w="960"/>
        <w:gridCol w:w="960"/>
        <w:gridCol w:w="960"/>
        <w:gridCol w:w="1080"/>
        <w:gridCol w:w="960"/>
        <w:gridCol w:w="960"/>
        <w:gridCol w:w="960"/>
        <w:gridCol w:w="960"/>
        <w:gridCol w:w="960"/>
        <w:gridCol w:w="960"/>
        <w:gridCol w:w="960"/>
      </w:tblGrid>
      <w:tr w:rsidR="00662C1C">
        <w:tc>
          <w:tcPr>
            <w:tcW w:w="1597" w:type="dxa"/>
            <w:vMerge w:val="restart"/>
            <w:tcBorders>
              <w:left w:val="nil"/>
            </w:tcBorders>
          </w:tcPr>
          <w:p w:rsidR="00662C1C" w:rsidRDefault="00662C1C">
            <w:pPr>
              <w:pStyle w:val="ConsPlusNormal"/>
              <w:jc w:val="center"/>
            </w:pPr>
            <w:r>
              <w:t>Наименование городского округа или муниципального района</w:t>
            </w:r>
          </w:p>
        </w:tc>
        <w:tc>
          <w:tcPr>
            <w:tcW w:w="17783" w:type="dxa"/>
            <w:gridSpan w:val="18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  <w:r>
              <w:t>Норматив потребления коммунальной услуги по отоплению в жилых помещениях, Гкал на 1 кв. м общей площади всех помещений в многоквартирном доме или жилого дома в месяц</w:t>
            </w:r>
          </w:p>
        </w:tc>
      </w:tr>
      <w:tr w:rsidR="00662C1C">
        <w:tc>
          <w:tcPr>
            <w:tcW w:w="1597" w:type="dxa"/>
            <w:vMerge/>
            <w:tcBorders>
              <w:left w:val="nil"/>
            </w:tcBorders>
          </w:tcPr>
          <w:p w:rsidR="00662C1C" w:rsidRDefault="00662C1C"/>
        </w:tc>
        <w:tc>
          <w:tcPr>
            <w:tcW w:w="17783" w:type="dxa"/>
            <w:gridSpan w:val="18"/>
            <w:tcBorders>
              <w:right w:val="nil"/>
            </w:tcBorders>
            <w:vAlign w:val="center"/>
          </w:tcPr>
          <w:p w:rsidR="00662C1C" w:rsidRDefault="00662C1C">
            <w:pPr>
              <w:pStyle w:val="ConsPlusNormal"/>
              <w:jc w:val="center"/>
            </w:pPr>
            <w:r>
              <w:t>этажность</w:t>
            </w:r>
          </w:p>
        </w:tc>
      </w:tr>
      <w:tr w:rsidR="00662C1C">
        <w:tc>
          <w:tcPr>
            <w:tcW w:w="1597" w:type="dxa"/>
            <w:vMerge/>
            <w:tcBorders>
              <w:left w:val="nil"/>
            </w:tcBorders>
          </w:tcPr>
          <w:p w:rsidR="00662C1C" w:rsidRDefault="00662C1C"/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  <w:r>
              <w:t>18</w:t>
            </w: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  <w:r>
              <w:t>19</w:t>
            </w:r>
          </w:p>
        </w:tc>
      </w:tr>
      <w:tr w:rsidR="00662C1C">
        <w:tc>
          <w:tcPr>
            <w:tcW w:w="19380" w:type="dxa"/>
            <w:gridSpan w:val="19"/>
            <w:tcBorders>
              <w:left w:val="nil"/>
              <w:right w:val="nil"/>
            </w:tcBorders>
          </w:tcPr>
          <w:p w:rsidR="00662C1C" w:rsidRDefault="00662C1C">
            <w:pPr>
              <w:pStyle w:val="ConsPlusNormal"/>
              <w:jc w:val="center"/>
              <w:outlineLvl w:val="1"/>
            </w:pPr>
            <w:r>
              <w:t>Многоквартирные дома до 1999 года постройки</w:t>
            </w: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0,0258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0,0258</w:t>
            </w: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  <w:r>
              <w:t>0,0265</w:t>
            </w: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0,0246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0,0258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lastRenderedPageBreak/>
              <w:t>Алатырский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Аликовский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Батыревский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Вурнарский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Ибресинский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Канашский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Красночетайский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Моргаушский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Порецкий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Урмарский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Цивильский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Шемуршински</w:t>
            </w:r>
            <w:r>
              <w:lastRenderedPageBreak/>
              <w:t>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lastRenderedPageBreak/>
              <w:t>0,0459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lastRenderedPageBreak/>
              <w:t>Шумерлинский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Ядринский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Яльчикский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Янтиковский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9380" w:type="dxa"/>
            <w:gridSpan w:val="19"/>
            <w:tcBorders>
              <w:left w:val="nil"/>
              <w:right w:val="nil"/>
            </w:tcBorders>
          </w:tcPr>
          <w:p w:rsidR="00662C1C" w:rsidRDefault="00662C1C">
            <w:pPr>
              <w:pStyle w:val="ConsPlusNormal"/>
              <w:jc w:val="center"/>
              <w:outlineLvl w:val="1"/>
            </w:pPr>
            <w:r>
              <w:t>Многоквартирные дома после 1999 года постройки</w:t>
            </w: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  <w:r>
              <w:t>0,0120</w:t>
            </w: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Алатырский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Аликовский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Батыревский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Вурнарский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Ибресинский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Канашский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lastRenderedPageBreak/>
              <w:t>Комсомольский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Красночетайский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Моргаушский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Порецкий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Урмарский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Цивильский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Шемуршинский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Шумерлинский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Ядринский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Яльчикский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  <w:tr w:rsidR="00662C1C">
        <w:tc>
          <w:tcPr>
            <w:tcW w:w="1597" w:type="dxa"/>
            <w:tcBorders>
              <w:left w:val="nil"/>
            </w:tcBorders>
          </w:tcPr>
          <w:p w:rsidR="00662C1C" w:rsidRDefault="00662C1C">
            <w:pPr>
              <w:pStyle w:val="ConsPlusNormal"/>
              <w:jc w:val="both"/>
            </w:pPr>
            <w:proofErr w:type="spellStart"/>
            <w:r>
              <w:t>Янтиковский</w:t>
            </w:r>
            <w:proofErr w:type="spellEnd"/>
          </w:p>
        </w:tc>
        <w:tc>
          <w:tcPr>
            <w:tcW w:w="983" w:type="dxa"/>
          </w:tcPr>
          <w:p w:rsidR="00662C1C" w:rsidRDefault="00662C1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662C1C" w:rsidRDefault="00662C1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662C1C" w:rsidRDefault="00662C1C">
            <w:pPr>
              <w:pStyle w:val="ConsPlusNormal"/>
              <w:jc w:val="center"/>
            </w:pPr>
          </w:p>
        </w:tc>
      </w:tr>
    </w:tbl>
    <w:p w:rsidR="00662C1C" w:rsidRDefault="00662C1C">
      <w:pPr>
        <w:sectPr w:rsidR="00662C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C1C" w:rsidRDefault="00662C1C">
      <w:pPr>
        <w:pStyle w:val="ConsPlusNormal"/>
        <w:ind w:firstLine="540"/>
        <w:jc w:val="both"/>
      </w:pPr>
    </w:p>
    <w:p w:rsidR="00662C1C" w:rsidRDefault="00662C1C">
      <w:pPr>
        <w:pStyle w:val="ConsPlusNormal"/>
        <w:ind w:firstLine="540"/>
        <w:jc w:val="both"/>
      </w:pPr>
      <w:r>
        <w:t>--------------------------------</w:t>
      </w:r>
    </w:p>
    <w:p w:rsidR="00662C1C" w:rsidRDefault="00662C1C">
      <w:pPr>
        <w:pStyle w:val="ConsPlusNormal"/>
        <w:ind w:firstLine="540"/>
        <w:jc w:val="both"/>
      </w:pPr>
      <w:bookmarkStart w:id="2" w:name="P1078"/>
      <w:bookmarkEnd w:id="2"/>
      <w:r>
        <w:t>&lt;*&gt; На основании сведений, представленных Чувашским центром по гидрометеорологии и мониторингу окружающей среды, метеорологические наблюдения в Чувашской Республике ведутся по пяти метеостанциям, соответственно муниципальные районы и городские округа республики разделены на пять климатических зон:</w:t>
      </w:r>
    </w:p>
    <w:p w:rsidR="00662C1C" w:rsidRDefault="00662C1C">
      <w:pPr>
        <w:pStyle w:val="ConsPlusNormal"/>
        <w:ind w:firstLine="540"/>
        <w:jc w:val="both"/>
      </w:pPr>
      <w:r>
        <w:t xml:space="preserve">1. Климатическая зона "Чебоксары": гг. Чебоксары и Новочебоксарск, </w:t>
      </w:r>
      <w:proofErr w:type="spellStart"/>
      <w:r>
        <w:t>Ядринский</w:t>
      </w:r>
      <w:proofErr w:type="spellEnd"/>
      <w:r>
        <w:t xml:space="preserve">, </w:t>
      </w:r>
      <w:proofErr w:type="spellStart"/>
      <w:r>
        <w:t>Моргаушский</w:t>
      </w:r>
      <w:proofErr w:type="spellEnd"/>
      <w:r>
        <w:t xml:space="preserve">, Чебоксарский, Мариинско-Посадский, </w:t>
      </w:r>
      <w:proofErr w:type="spellStart"/>
      <w:r>
        <w:t>Цивильский</w:t>
      </w:r>
      <w:proofErr w:type="spellEnd"/>
      <w:r>
        <w:t xml:space="preserve">, </w:t>
      </w:r>
      <w:proofErr w:type="spellStart"/>
      <w:r>
        <w:t>Красночетайский</w:t>
      </w:r>
      <w:proofErr w:type="spellEnd"/>
      <w:r>
        <w:t>, Красноармейский районы.</w:t>
      </w:r>
    </w:p>
    <w:p w:rsidR="00662C1C" w:rsidRDefault="00662C1C">
      <w:pPr>
        <w:pStyle w:val="ConsPlusNormal"/>
        <w:ind w:firstLine="540"/>
        <w:jc w:val="both"/>
      </w:pPr>
      <w:r>
        <w:t xml:space="preserve">2. Климатическая зона "Канаш": г. Канаш, </w:t>
      </w:r>
      <w:proofErr w:type="spellStart"/>
      <w:r>
        <w:t>Вурнарский</w:t>
      </w:r>
      <w:proofErr w:type="spellEnd"/>
      <w:r>
        <w:t xml:space="preserve">, </w:t>
      </w:r>
      <w:proofErr w:type="spellStart"/>
      <w:r>
        <w:t>Канашский</w:t>
      </w:r>
      <w:proofErr w:type="spellEnd"/>
      <w:r>
        <w:t xml:space="preserve">, </w:t>
      </w:r>
      <w:proofErr w:type="spellStart"/>
      <w:r>
        <w:t>Аликовский</w:t>
      </w:r>
      <w:proofErr w:type="spellEnd"/>
      <w:r>
        <w:t xml:space="preserve">, </w:t>
      </w:r>
      <w:proofErr w:type="spellStart"/>
      <w:r>
        <w:t>Янтиковский</w:t>
      </w:r>
      <w:proofErr w:type="spellEnd"/>
      <w:r>
        <w:t xml:space="preserve">, Козловский, </w:t>
      </w:r>
      <w:proofErr w:type="spellStart"/>
      <w:r>
        <w:t>Урмарский</w:t>
      </w:r>
      <w:proofErr w:type="spellEnd"/>
      <w:r>
        <w:t xml:space="preserve">, </w:t>
      </w:r>
      <w:proofErr w:type="spellStart"/>
      <w:r>
        <w:t>Ибресинский</w:t>
      </w:r>
      <w:proofErr w:type="spellEnd"/>
      <w:r>
        <w:t xml:space="preserve"> районы.</w:t>
      </w:r>
    </w:p>
    <w:p w:rsidR="00662C1C" w:rsidRDefault="00662C1C">
      <w:pPr>
        <w:pStyle w:val="ConsPlusNormal"/>
        <w:ind w:firstLine="540"/>
        <w:jc w:val="both"/>
      </w:pPr>
      <w:r>
        <w:t xml:space="preserve">3. Климатическая зона "Порецкое": г. Шумерля, </w:t>
      </w:r>
      <w:proofErr w:type="spellStart"/>
      <w:r>
        <w:t>Шумерлинский</w:t>
      </w:r>
      <w:proofErr w:type="spellEnd"/>
      <w:r>
        <w:t xml:space="preserve">, </w:t>
      </w:r>
      <w:proofErr w:type="spellStart"/>
      <w:r>
        <w:t>Порецкий</w:t>
      </w:r>
      <w:proofErr w:type="spellEnd"/>
      <w:r>
        <w:t xml:space="preserve"> районы.</w:t>
      </w:r>
    </w:p>
    <w:p w:rsidR="00662C1C" w:rsidRDefault="00662C1C">
      <w:pPr>
        <w:pStyle w:val="ConsPlusNormal"/>
        <w:ind w:firstLine="540"/>
        <w:jc w:val="both"/>
      </w:pPr>
      <w:r>
        <w:t xml:space="preserve">4. Климатическая зона "Батырево": </w:t>
      </w:r>
      <w:proofErr w:type="spellStart"/>
      <w:r>
        <w:t>Шемуршинский</w:t>
      </w:r>
      <w:proofErr w:type="spellEnd"/>
      <w:r>
        <w:t xml:space="preserve">, </w:t>
      </w:r>
      <w:proofErr w:type="spellStart"/>
      <w:r>
        <w:t>Батыревский</w:t>
      </w:r>
      <w:proofErr w:type="spellEnd"/>
      <w:r>
        <w:t xml:space="preserve">, </w:t>
      </w:r>
      <w:proofErr w:type="spellStart"/>
      <w:r>
        <w:t>Яльчикский</w:t>
      </w:r>
      <w:proofErr w:type="spellEnd"/>
      <w:r>
        <w:t xml:space="preserve">, </w:t>
      </w:r>
      <w:proofErr w:type="gramStart"/>
      <w:r>
        <w:t>Комсомольский</w:t>
      </w:r>
      <w:proofErr w:type="gramEnd"/>
      <w:r>
        <w:t xml:space="preserve"> районы.</w:t>
      </w:r>
    </w:p>
    <w:p w:rsidR="00662C1C" w:rsidRDefault="00662C1C">
      <w:pPr>
        <w:pStyle w:val="ConsPlusNormal"/>
        <w:ind w:firstLine="540"/>
        <w:jc w:val="both"/>
      </w:pPr>
      <w:r>
        <w:t xml:space="preserve">5. Климатическая зона "Алатырь": г. Алатырь и </w:t>
      </w:r>
      <w:proofErr w:type="spellStart"/>
      <w:r>
        <w:t>Алатырский</w:t>
      </w:r>
      <w:proofErr w:type="spellEnd"/>
      <w:r>
        <w:t xml:space="preserve"> район.</w:t>
      </w:r>
    </w:p>
    <w:p w:rsidR="00662C1C" w:rsidRDefault="00662C1C">
      <w:pPr>
        <w:pStyle w:val="ConsPlusNormal"/>
        <w:ind w:firstLine="540"/>
        <w:jc w:val="both"/>
      </w:pPr>
      <w:r>
        <w:t xml:space="preserve">Расчет норматива потребления коммунальной услуги по отоплению произведен исходя из продолжительности отопительного периода, равного семи месяцам, отдельно для каждой климатической зоны. </w:t>
      </w:r>
      <w:proofErr w:type="gramStart"/>
      <w:r>
        <w:t>Норматив потребления коммунальной услуги по отоплению определен расчетным методом, за исключением норматива потребления коммунальной услуги по отоплению для двухэтажных многоквартирных домов до 1999 года постройки для климатической зоны "Порецкое" и пятиэтажных многоквартирных домов до 1999 года постройки для климатической зоны "Алатырь", для которых норматив потребления коммунальной услуги по отоплению определен методом аналогов.</w:t>
      </w:r>
      <w:proofErr w:type="gramEnd"/>
    </w:p>
    <w:p w:rsidR="00662C1C" w:rsidRDefault="00662C1C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319.</w:t>
      </w:r>
    </w:p>
    <w:p w:rsidR="00662C1C" w:rsidRDefault="00662C1C">
      <w:pPr>
        <w:pStyle w:val="ConsPlusNormal"/>
        <w:ind w:firstLine="540"/>
        <w:jc w:val="both"/>
      </w:pPr>
    </w:p>
    <w:p w:rsidR="00662C1C" w:rsidRDefault="00662C1C">
      <w:pPr>
        <w:pStyle w:val="ConsPlusNormal"/>
        <w:ind w:firstLine="540"/>
        <w:jc w:val="both"/>
      </w:pPr>
    </w:p>
    <w:p w:rsidR="00662C1C" w:rsidRDefault="00662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C83" w:rsidRDefault="000D2C83"/>
    <w:sectPr w:rsidR="000D2C83" w:rsidSect="001202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C"/>
    <w:rsid w:val="000D2C83"/>
    <w:rsid w:val="006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C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C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70C8ECC61AC01D2AF44738AFE20294122621E0AE12A7997A4DF8885p8vDF" TargetMode="External"/><Relationship Id="rId13" Type="http://schemas.openxmlformats.org/officeDocument/2006/relationships/hyperlink" Target="consultantplus://offline/ref=E6070C8ECC61AC01D2AF5A7E9C927E2D4B283C1702E4222EC3FB84D5D284832195EDBB0313AEDBF65BFE00p1v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70C8ECC61AC01D2AF44738AFE20294123621303E02A7997A4DF88858D8976D2A2E24157A3D3F5p5vDF" TargetMode="External"/><Relationship Id="rId12" Type="http://schemas.openxmlformats.org/officeDocument/2006/relationships/hyperlink" Target="consultantplus://offline/ref=E6070C8ECC61AC01D2AF5A7E9C927E2D4B283C170DE0262CCEFB84D5D284832195EDBB0313AEDBF65BFE04p1v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70C8ECC61AC01D2AF5A7E9C927E2D4B283C1702E4222EC3FB84D5D284832195EDBB0313AEDBF65BFE00p1vEF" TargetMode="External"/><Relationship Id="rId11" Type="http://schemas.openxmlformats.org/officeDocument/2006/relationships/hyperlink" Target="consultantplus://offline/ref=E6070C8ECC61AC01D2AF5A7E9C927E2D4B283C170CE1252DC3FB84D5D284832195EDBB0313AEDBF65BFE01p1v3F" TargetMode="External"/><Relationship Id="rId5" Type="http://schemas.openxmlformats.org/officeDocument/2006/relationships/hyperlink" Target="consultantplus://offline/ref=E6070C8ECC61AC01D2AF5A7E9C927E2D4B283C170DE0262CCEFB84D5D284832195EDBB0313AEDBF65BFE04p1v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070C8ECC61AC01D2AF5A7E9C927E2D4B283C170CE1252DC3FB84D5D284832195EDBB0313AEDBF65BFE01p1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70C8ECC61AC01D2AF5A7E9C927E2D4B283C170CE1252DC3FB84D5D2848321p9v5F" TargetMode="External"/><Relationship Id="rId14" Type="http://schemas.openxmlformats.org/officeDocument/2006/relationships/hyperlink" Target="consultantplus://offline/ref=E6070C8ECC61AC01D2AF5A7E9C927E2D4B283C1702E4222EC3FB84D5D284832195EDBB0313AEDBF65BFE00p1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94.</dc:creator>
  <cp:lastModifiedBy>Минстрой 94.</cp:lastModifiedBy>
  <cp:revision>1</cp:revision>
  <dcterms:created xsi:type="dcterms:W3CDTF">2017-01-17T05:47:00Z</dcterms:created>
  <dcterms:modified xsi:type="dcterms:W3CDTF">2017-01-17T05:48:00Z</dcterms:modified>
</cp:coreProperties>
</file>