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5" w:rsidRDefault="00F25C85">
      <w:pPr>
        <w:pStyle w:val="ConsPlusTitle"/>
        <w:jc w:val="center"/>
        <w:outlineLvl w:val="0"/>
      </w:pPr>
      <w:bookmarkStart w:id="0" w:name="_GoBack"/>
      <w:bookmarkEnd w:id="0"/>
      <w:r>
        <w:t>КАБИНЕТ МИНИСТРОВ ЧУВАШСКОЙ РЕСПУБЛИКИ</w:t>
      </w:r>
    </w:p>
    <w:p w:rsidR="00F25C85" w:rsidRDefault="00F25C85">
      <w:pPr>
        <w:pStyle w:val="ConsPlusTitle"/>
        <w:jc w:val="center"/>
      </w:pPr>
    </w:p>
    <w:p w:rsidR="00F25C85" w:rsidRDefault="00F25C85">
      <w:pPr>
        <w:pStyle w:val="ConsPlusTitle"/>
        <w:jc w:val="center"/>
      </w:pPr>
      <w:r>
        <w:t>ПОСТАНОВЛЕНИЕ</w:t>
      </w:r>
    </w:p>
    <w:p w:rsidR="00F25C85" w:rsidRDefault="00F25C85">
      <w:pPr>
        <w:pStyle w:val="ConsPlusTitle"/>
        <w:jc w:val="center"/>
      </w:pPr>
      <w:r>
        <w:t>от 5 октября 2015 г. N 346</w:t>
      </w:r>
    </w:p>
    <w:p w:rsidR="00F25C85" w:rsidRDefault="00F25C85">
      <w:pPr>
        <w:pStyle w:val="ConsPlusTitle"/>
        <w:jc w:val="center"/>
      </w:pPr>
    </w:p>
    <w:p w:rsidR="00F25C85" w:rsidRDefault="00F25C85">
      <w:pPr>
        <w:pStyle w:val="ConsPlusTitle"/>
        <w:jc w:val="center"/>
      </w:pPr>
      <w:r>
        <w:t xml:space="preserve">ОБ УТВЕРЖДЕНИИ РЕЗУЛЬТАТОВ </w:t>
      </w:r>
      <w:proofErr w:type="gramStart"/>
      <w:r>
        <w:t>ГОСУДАРСТВЕННОЙ</w:t>
      </w:r>
      <w:proofErr w:type="gramEnd"/>
    </w:p>
    <w:p w:rsidR="00F25C85" w:rsidRDefault="00F25C85">
      <w:pPr>
        <w:pStyle w:val="ConsPlusTitle"/>
        <w:jc w:val="center"/>
      </w:pPr>
      <w:r>
        <w:t>КАДАСТРОВОЙ ОЦЕНКИ ЗЕМЕЛЬ СЕЛЬСКОХОЗЯЙСТВЕННОГО НАЗНАЧЕНИЯ</w:t>
      </w:r>
    </w:p>
    <w:p w:rsidR="00F25C85" w:rsidRDefault="00F25C85">
      <w:pPr>
        <w:pStyle w:val="ConsPlusTitle"/>
        <w:jc w:val="center"/>
      </w:pPr>
      <w:r>
        <w:t>НА ТЕРРИТОРИИ ЧУВАШСКОЙ РЕСПУБЛИКИ</w:t>
      </w:r>
    </w:p>
    <w:p w:rsidR="00F25C85" w:rsidRDefault="00F25C85">
      <w:pPr>
        <w:pStyle w:val="ConsPlusNormal"/>
        <w:jc w:val="both"/>
      </w:pPr>
    </w:p>
    <w:p w:rsidR="00F25C85" w:rsidRDefault="00F25C85">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"Об оценочной деятельности в Российской Федерации" Кабинет Министров Чувашской Республики постановляет:</w:t>
      </w:r>
    </w:p>
    <w:p w:rsidR="00F25C85" w:rsidRDefault="00F25C85">
      <w:pPr>
        <w:pStyle w:val="ConsPlusNormal"/>
        <w:ind w:firstLine="540"/>
        <w:jc w:val="both"/>
      </w:pPr>
      <w:r>
        <w:t>1. Утвердить результаты государственной кадастровой оценки земель сельскохозяйственного назначения на территории Чувашской Республики по состоянию на 1 января 2015 года:</w:t>
      </w:r>
    </w:p>
    <w:p w:rsidR="00F25C85" w:rsidRDefault="00F25C85">
      <w:pPr>
        <w:pStyle w:val="ConsPlusNormal"/>
        <w:ind w:firstLine="540"/>
        <w:jc w:val="both"/>
      </w:pPr>
      <w:hyperlink w:anchor="P34" w:history="1">
        <w:r>
          <w:rPr>
            <w:color w:val="0000FF"/>
          </w:rPr>
          <w:t>значения</w:t>
        </w:r>
      </w:hyperlink>
      <w:r>
        <w:t xml:space="preserve"> кадастровой стоимости земельных участков в составе земель сельскохозяйственного назначения на территории Чувашской Республики (приложение N 1);</w:t>
      </w:r>
    </w:p>
    <w:p w:rsidR="00F25C85" w:rsidRDefault="00F25C85">
      <w:pPr>
        <w:pStyle w:val="ConsPlusNormal"/>
        <w:ind w:firstLine="540"/>
        <w:jc w:val="both"/>
      </w:pPr>
      <w:hyperlink w:anchor="P51" w:history="1">
        <w:r>
          <w:rPr>
            <w:color w:val="0000FF"/>
          </w:rPr>
          <w:t>значения</w:t>
        </w:r>
      </w:hyperlink>
      <w:r>
        <w:t xml:space="preserve"> удельных показателей кадастровой стоимости земель сельскохозяйственного назначения в разрезе муниципальных районов (городских округов) Чувашской Республики (приложение N 2).</w:t>
      </w:r>
    </w:p>
    <w:p w:rsidR="00F25C85" w:rsidRDefault="00F25C85">
      <w:pPr>
        <w:pStyle w:val="ConsPlusNormal"/>
        <w:ind w:firstLine="540"/>
        <w:jc w:val="both"/>
      </w:pPr>
      <w:r>
        <w:t>2. Признать утратившими силу:</w:t>
      </w:r>
    </w:p>
    <w:p w:rsidR="00F25C85" w:rsidRDefault="00F25C85">
      <w:pPr>
        <w:pStyle w:val="ConsPlusNormal"/>
        <w:ind w:firstLine="540"/>
        <w:jc w:val="both"/>
      </w:pPr>
      <w:hyperlink r:id="rId7" w:history="1">
        <w:r>
          <w:rPr>
            <w:color w:val="0000FF"/>
          </w:rPr>
          <w:t>постановление</w:t>
        </w:r>
      </w:hyperlink>
      <w:r>
        <w:t xml:space="preserve"> Кабинета Министров Чувашской Республики от 31 декабря 2011 г. N 665 "Об утверждении результатов государственной кадастровой оценки земель сельскохозяйственного назначения на территории Чувашской Республики";</w:t>
      </w:r>
    </w:p>
    <w:p w:rsidR="00F25C85" w:rsidRDefault="00F25C85">
      <w:pPr>
        <w:pStyle w:val="ConsPlusNormal"/>
        <w:ind w:firstLine="540"/>
        <w:jc w:val="both"/>
      </w:pPr>
      <w:hyperlink r:id="rId8" w:history="1">
        <w:r>
          <w:rPr>
            <w:color w:val="0000FF"/>
          </w:rPr>
          <w:t>подпункт 2 пункта 1</w:t>
        </w:r>
      </w:hyperlink>
      <w:r>
        <w:t xml:space="preserve"> постановления Кабинета Министров Чувашской Республики от 25 декабря 2014 г. N 486 "О внесении изменений в некоторые постановления Кабинета Министров Чувашской Республики".</w:t>
      </w:r>
    </w:p>
    <w:p w:rsidR="00F25C85" w:rsidRDefault="00F25C85">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F25C85" w:rsidRDefault="00F25C85">
      <w:pPr>
        <w:pStyle w:val="ConsPlusNormal"/>
        <w:jc w:val="both"/>
      </w:pPr>
    </w:p>
    <w:p w:rsidR="00F25C85" w:rsidRDefault="00F25C85">
      <w:pPr>
        <w:pStyle w:val="ConsPlusNormal"/>
        <w:jc w:val="right"/>
      </w:pPr>
      <w:r>
        <w:t>Председатель Кабинета Министров</w:t>
      </w:r>
    </w:p>
    <w:p w:rsidR="00F25C85" w:rsidRDefault="00F25C85">
      <w:pPr>
        <w:pStyle w:val="ConsPlusNormal"/>
        <w:jc w:val="right"/>
      </w:pPr>
      <w:r>
        <w:t>Чувашской Республики</w:t>
      </w:r>
    </w:p>
    <w:p w:rsidR="00F25C85" w:rsidRDefault="00F25C85">
      <w:pPr>
        <w:pStyle w:val="ConsPlusNormal"/>
        <w:jc w:val="right"/>
      </w:pPr>
      <w:r>
        <w:t>И.МОТОРИН</w:t>
      </w: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right"/>
        <w:outlineLvl w:val="0"/>
      </w:pPr>
      <w:r>
        <w:t>Утверждены</w:t>
      </w:r>
    </w:p>
    <w:p w:rsidR="00F25C85" w:rsidRDefault="00F25C85">
      <w:pPr>
        <w:pStyle w:val="ConsPlusNormal"/>
        <w:jc w:val="right"/>
      </w:pPr>
      <w:r>
        <w:t>постановлением</w:t>
      </w:r>
    </w:p>
    <w:p w:rsidR="00F25C85" w:rsidRDefault="00F25C85">
      <w:pPr>
        <w:pStyle w:val="ConsPlusNormal"/>
        <w:jc w:val="right"/>
      </w:pPr>
      <w:r>
        <w:t>Кабинета Министров</w:t>
      </w:r>
    </w:p>
    <w:p w:rsidR="00F25C85" w:rsidRDefault="00F25C85">
      <w:pPr>
        <w:pStyle w:val="ConsPlusNormal"/>
        <w:jc w:val="right"/>
      </w:pPr>
      <w:r>
        <w:t>Чувашской Республики</w:t>
      </w:r>
    </w:p>
    <w:p w:rsidR="00F25C85" w:rsidRDefault="00F25C85">
      <w:pPr>
        <w:pStyle w:val="ConsPlusNormal"/>
        <w:jc w:val="right"/>
      </w:pPr>
      <w:r>
        <w:t>от 05.10.2015 N 346</w:t>
      </w:r>
    </w:p>
    <w:p w:rsidR="00F25C85" w:rsidRDefault="00F25C85">
      <w:pPr>
        <w:pStyle w:val="ConsPlusNormal"/>
        <w:jc w:val="right"/>
      </w:pPr>
      <w:r>
        <w:t>(приложение N 1)</w:t>
      </w:r>
    </w:p>
    <w:p w:rsidR="00F25C85" w:rsidRDefault="00F25C85">
      <w:pPr>
        <w:pStyle w:val="ConsPlusNormal"/>
        <w:jc w:val="both"/>
      </w:pPr>
    </w:p>
    <w:p w:rsidR="00F25C85" w:rsidRDefault="00F25C85">
      <w:pPr>
        <w:pStyle w:val="ConsPlusTitle"/>
        <w:jc w:val="center"/>
      </w:pPr>
      <w:bookmarkStart w:id="1" w:name="P34"/>
      <w:bookmarkEnd w:id="1"/>
      <w:r>
        <w:t>ЗНАЧЕНИЯ</w:t>
      </w:r>
    </w:p>
    <w:p w:rsidR="00F25C85" w:rsidRDefault="00F25C85">
      <w:pPr>
        <w:pStyle w:val="ConsPlusTitle"/>
        <w:jc w:val="center"/>
      </w:pPr>
      <w:r>
        <w:t>КАДАСТРОВОЙ СТОИМОСТИ ЗЕМЕЛЬНЫХ УЧАСТКОВ В СОСТАВЕ</w:t>
      </w:r>
    </w:p>
    <w:p w:rsidR="00F25C85" w:rsidRDefault="00F25C85">
      <w:pPr>
        <w:pStyle w:val="ConsPlusTitle"/>
        <w:jc w:val="center"/>
      </w:pPr>
      <w:r>
        <w:t>ЗЕМЕЛЬ СЕЛЬСКОХОЗЯЙСТВЕННОГО НАЗНАЧЕНИЯ НА ТЕРРИТОРИИ</w:t>
      </w:r>
    </w:p>
    <w:p w:rsidR="00F25C85" w:rsidRDefault="00F25C85">
      <w:pPr>
        <w:pStyle w:val="ConsPlusTitle"/>
        <w:jc w:val="center"/>
      </w:pPr>
      <w:r>
        <w:t>ЧУВАШСКОЙ РЕСПУБЛИКИ</w:t>
      </w: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pStyle w:val="ConsPlusNormal"/>
        <w:jc w:val="both"/>
      </w:pPr>
    </w:p>
    <w:p w:rsidR="00F25C85" w:rsidRDefault="00F25C85">
      <w:pPr>
        <w:sectPr w:rsidR="00F25C85" w:rsidSect="006E0161">
          <w:pgSz w:w="11906" w:h="16838"/>
          <w:pgMar w:top="1134" w:right="850" w:bottom="1134" w:left="1701" w:header="708" w:footer="708" w:gutter="0"/>
          <w:cols w:space="708"/>
          <w:docGrid w:linePitch="360"/>
        </w:sectPr>
      </w:pPr>
    </w:p>
    <w:p w:rsidR="00F25C85" w:rsidRDefault="00F25C85">
      <w:pPr>
        <w:pStyle w:val="ConsPlusNormal"/>
        <w:jc w:val="right"/>
        <w:outlineLvl w:val="0"/>
      </w:pPr>
      <w:r>
        <w:lastRenderedPageBreak/>
        <w:t>Утверждены</w:t>
      </w:r>
    </w:p>
    <w:p w:rsidR="00F25C85" w:rsidRDefault="00F25C85">
      <w:pPr>
        <w:pStyle w:val="ConsPlusNormal"/>
        <w:jc w:val="right"/>
      </w:pPr>
      <w:r>
        <w:t>постановлением</w:t>
      </w:r>
    </w:p>
    <w:p w:rsidR="00F25C85" w:rsidRDefault="00F25C85">
      <w:pPr>
        <w:pStyle w:val="ConsPlusNormal"/>
        <w:jc w:val="right"/>
      </w:pPr>
      <w:r>
        <w:t>Кабинета Министров</w:t>
      </w:r>
    </w:p>
    <w:p w:rsidR="00F25C85" w:rsidRDefault="00F25C85">
      <w:pPr>
        <w:pStyle w:val="ConsPlusNormal"/>
        <w:jc w:val="right"/>
      </w:pPr>
      <w:r>
        <w:t>Чувашской Республики</w:t>
      </w:r>
    </w:p>
    <w:p w:rsidR="00F25C85" w:rsidRDefault="00F25C85">
      <w:pPr>
        <w:pStyle w:val="ConsPlusNormal"/>
        <w:jc w:val="right"/>
      </w:pPr>
      <w:r>
        <w:t>от 05.10.2015 N 346</w:t>
      </w:r>
    </w:p>
    <w:p w:rsidR="00F25C85" w:rsidRDefault="00F25C85">
      <w:pPr>
        <w:pStyle w:val="ConsPlusNormal"/>
        <w:jc w:val="right"/>
      </w:pPr>
      <w:r>
        <w:t>(приложение N 2)</w:t>
      </w:r>
    </w:p>
    <w:p w:rsidR="00F25C85" w:rsidRDefault="00F25C85">
      <w:pPr>
        <w:pStyle w:val="ConsPlusNormal"/>
        <w:jc w:val="both"/>
      </w:pPr>
    </w:p>
    <w:p w:rsidR="00F25C85" w:rsidRDefault="00F25C85">
      <w:pPr>
        <w:pStyle w:val="ConsPlusTitle"/>
        <w:jc w:val="center"/>
      </w:pPr>
      <w:bookmarkStart w:id="2" w:name="P51"/>
      <w:bookmarkEnd w:id="2"/>
      <w:r>
        <w:t>ЗНАЧЕНИЯ</w:t>
      </w:r>
    </w:p>
    <w:p w:rsidR="00F25C85" w:rsidRDefault="00F25C85">
      <w:pPr>
        <w:pStyle w:val="ConsPlusTitle"/>
        <w:jc w:val="center"/>
      </w:pPr>
      <w:r>
        <w:t>УДЕЛЬНЫХ ПОКАЗАТЕЛЕЙ КАДАСТРОВОЙ СТОИМОСТИ ЗЕМЕЛЬ</w:t>
      </w:r>
    </w:p>
    <w:p w:rsidR="00F25C85" w:rsidRDefault="00F25C85">
      <w:pPr>
        <w:pStyle w:val="ConsPlusTitle"/>
        <w:jc w:val="center"/>
      </w:pPr>
      <w:r>
        <w:t xml:space="preserve">СЕЛЬСКОХОЗЯЙСТВЕННОГО НАЗНАЧЕНИЯ В РАЗРЕЗЕ </w:t>
      </w:r>
      <w:proofErr w:type="gramStart"/>
      <w:r>
        <w:t>МУНИЦИПАЛЬНЫХ</w:t>
      </w:r>
      <w:proofErr w:type="gramEnd"/>
    </w:p>
    <w:p w:rsidR="00F25C85" w:rsidRDefault="00F25C85">
      <w:pPr>
        <w:pStyle w:val="ConsPlusTitle"/>
        <w:jc w:val="center"/>
      </w:pPr>
      <w:r>
        <w:t>РАЙОНОВ (ГОРОДСКИХ ОКРУГОВ) ЧУВАШСКОЙ РЕСПУБЛИКИ</w:t>
      </w:r>
    </w:p>
    <w:p w:rsidR="00F25C85" w:rsidRDefault="00F25C8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6"/>
        <w:gridCol w:w="1722"/>
        <w:gridCol w:w="964"/>
        <w:gridCol w:w="964"/>
        <w:gridCol w:w="964"/>
        <w:gridCol w:w="964"/>
        <w:gridCol w:w="964"/>
        <w:gridCol w:w="964"/>
      </w:tblGrid>
      <w:tr w:rsidR="00F25C85">
        <w:tc>
          <w:tcPr>
            <w:tcW w:w="2096" w:type="dxa"/>
            <w:vMerge w:val="restart"/>
          </w:tcPr>
          <w:p w:rsidR="00F25C85" w:rsidRDefault="00F25C85">
            <w:pPr>
              <w:pStyle w:val="ConsPlusNormal"/>
              <w:jc w:val="center"/>
            </w:pPr>
            <w:r>
              <w:t>Наименование муниципального района (городского округа)</w:t>
            </w:r>
          </w:p>
        </w:tc>
        <w:tc>
          <w:tcPr>
            <w:tcW w:w="1722" w:type="dxa"/>
            <w:vMerge w:val="restart"/>
          </w:tcPr>
          <w:p w:rsidR="00F25C85" w:rsidRDefault="00F25C85">
            <w:pPr>
              <w:pStyle w:val="ConsPlusNormal"/>
              <w:jc w:val="center"/>
            </w:pPr>
            <w:r>
              <w:t>Значение удельного показателя кадастровой стоимости</w:t>
            </w:r>
          </w:p>
        </w:tc>
        <w:tc>
          <w:tcPr>
            <w:tcW w:w="5784" w:type="dxa"/>
            <w:gridSpan w:val="6"/>
          </w:tcPr>
          <w:p w:rsidR="00F25C85" w:rsidRDefault="00F25C85">
            <w:pPr>
              <w:pStyle w:val="ConsPlusNormal"/>
              <w:jc w:val="center"/>
            </w:pPr>
            <w:r>
              <w:t xml:space="preserve">Значения удельных показателей кадастровой </w:t>
            </w:r>
            <w:proofErr w:type="gramStart"/>
            <w:r>
              <w:t>стоимости</w:t>
            </w:r>
            <w:proofErr w:type="gramEnd"/>
            <w:r>
              <w:t xml:space="preserve"> в разрезе групп видов разрешенного использования, рублей/кв. метр</w:t>
            </w:r>
          </w:p>
        </w:tc>
      </w:tr>
      <w:tr w:rsidR="00F25C85">
        <w:tc>
          <w:tcPr>
            <w:tcW w:w="2096" w:type="dxa"/>
            <w:vMerge/>
          </w:tcPr>
          <w:p w:rsidR="00F25C85" w:rsidRDefault="00F25C85"/>
        </w:tc>
        <w:tc>
          <w:tcPr>
            <w:tcW w:w="1722" w:type="dxa"/>
            <w:vMerge/>
          </w:tcPr>
          <w:p w:rsidR="00F25C85" w:rsidRDefault="00F25C85"/>
        </w:tc>
        <w:tc>
          <w:tcPr>
            <w:tcW w:w="964" w:type="dxa"/>
          </w:tcPr>
          <w:p w:rsidR="00F25C85" w:rsidRDefault="00F25C85">
            <w:pPr>
              <w:pStyle w:val="ConsPlusNormal"/>
              <w:jc w:val="center"/>
            </w:pPr>
            <w:hyperlink w:anchor="P442" w:history="1">
              <w:r>
                <w:rPr>
                  <w:color w:val="0000FF"/>
                </w:rPr>
                <w:t>I</w:t>
              </w:r>
            </w:hyperlink>
          </w:p>
        </w:tc>
        <w:tc>
          <w:tcPr>
            <w:tcW w:w="964" w:type="dxa"/>
          </w:tcPr>
          <w:p w:rsidR="00F25C85" w:rsidRDefault="00F25C85">
            <w:pPr>
              <w:pStyle w:val="ConsPlusNormal"/>
              <w:jc w:val="center"/>
            </w:pPr>
            <w:hyperlink w:anchor="P443" w:history="1">
              <w:r>
                <w:rPr>
                  <w:color w:val="0000FF"/>
                </w:rPr>
                <w:t>II</w:t>
              </w:r>
            </w:hyperlink>
          </w:p>
        </w:tc>
        <w:tc>
          <w:tcPr>
            <w:tcW w:w="964" w:type="dxa"/>
          </w:tcPr>
          <w:p w:rsidR="00F25C85" w:rsidRDefault="00F25C85">
            <w:pPr>
              <w:pStyle w:val="ConsPlusNormal"/>
              <w:jc w:val="center"/>
            </w:pPr>
            <w:hyperlink w:anchor="P444" w:history="1">
              <w:r>
                <w:rPr>
                  <w:color w:val="0000FF"/>
                </w:rPr>
                <w:t>III</w:t>
              </w:r>
            </w:hyperlink>
          </w:p>
        </w:tc>
        <w:tc>
          <w:tcPr>
            <w:tcW w:w="964" w:type="dxa"/>
          </w:tcPr>
          <w:p w:rsidR="00F25C85" w:rsidRDefault="00F25C85">
            <w:pPr>
              <w:pStyle w:val="ConsPlusNormal"/>
              <w:jc w:val="center"/>
            </w:pPr>
            <w:hyperlink w:anchor="P445" w:history="1">
              <w:r>
                <w:rPr>
                  <w:color w:val="0000FF"/>
                </w:rPr>
                <w:t>IV</w:t>
              </w:r>
            </w:hyperlink>
          </w:p>
        </w:tc>
        <w:tc>
          <w:tcPr>
            <w:tcW w:w="964" w:type="dxa"/>
          </w:tcPr>
          <w:p w:rsidR="00F25C85" w:rsidRDefault="00F25C85">
            <w:pPr>
              <w:pStyle w:val="ConsPlusNormal"/>
              <w:jc w:val="center"/>
            </w:pPr>
            <w:hyperlink w:anchor="P446" w:history="1">
              <w:r>
                <w:rPr>
                  <w:color w:val="0000FF"/>
                </w:rPr>
                <w:t>V</w:t>
              </w:r>
            </w:hyperlink>
          </w:p>
        </w:tc>
        <w:tc>
          <w:tcPr>
            <w:tcW w:w="964" w:type="dxa"/>
          </w:tcPr>
          <w:p w:rsidR="00F25C85" w:rsidRDefault="00F25C85">
            <w:pPr>
              <w:pStyle w:val="ConsPlusNormal"/>
              <w:jc w:val="center"/>
            </w:pPr>
            <w:hyperlink w:anchor="P447" w:history="1">
              <w:r>
                <w:rPr>
                  <w:color w:val="0000FF"/>
                </w:rPr>
                <w:t>VI</w:t>
              </w:r>
            </w:hyperlink>
          </w:p>
        </w:tc>
      </w:tr>
      <w:tr w:rsidR="00F25C85">
        <w:tc>
          <w:tcPr>
            <w:tcW w:w="2096" w:type="dxa"/>
          </w:tcPr>
          <w:p w:rsidR="00F25C85" w:rsidRDefault="00F25C85">
            <w:pPr>
              <w:pStyle w:val="ConsPlusNormal"/>
              <w:jc w:val="center"/>
            </w:pPr>
            <w:r>
              <w:t>1</w:t>
            </w:r>
          </w:p>
        </w:tc>
        <w:tc>
          <w:tcPr>
            <w:tcW w:w="1722" w:type="dxa"/>
          </w:tcPr>
          <w:p w:rsidR="00F25C85" w:rsidRDefault="00F25C85">
            <w:pPr>
              <w:pStyle w:val="ConsPlusNormal"/>
              <w:jc w:val="center"/>
            </w:pPr>
            <w:r>
              <w:t>2</w:t>
            </w:r>
          </w:p>
        </w:tc>
        <w:tc>
          <w:tcPr>
            <w:tcW w:w="964" w:type="dxa"/>
          </w:tcPr>
          <w:p w:rsidR="00F25C85" w:rsidRDefault="00F25C85">
            <w:pPr>
              <w:pStyle w:val="ConsPlusNormal"/>
              <w:jc w:val="center"/>
            </w:pPr>
            <w:r>
              <w:t>3</w:t>
            </w:r>
          </w:p>
        </w:tc>
        <w:tc>
          <w:tcPr>
            <w:tcW w:w="964" w:type="dxa"/>
          </w:tcPr>
          <w:p w:rsidR="00F25C85" w:rsidRDefault="00F25C85">
            <w:pPr>
              <w:pStyle w:val="ConsPlusNormal"/>
              <w:jc w:val="center"/>
            </w:pPr>
            <w:r>
              <w:t>4</w:t>
            </w:r>
          </w:p>
        </w:tc>
        <w:tc>
          <w:tcPr>
            <w:tcW w:w="964" w:type="dxa"/>
          </w:tcPr>
          <w:p w:rsidR="00F25C85" w:rsidRDefault="00F25C85">
            <w:pPr>
              <w:pStyle w:val="ConsPlusNormal"/>
              <w:jc w:val="center"/>
            </w:pPr>
            <w:r>
              <w:t>5</w:t>
            </w:r>
          </w:p>
        </w:tc>
        <w:tc>
          <w:tcPr>
            <w:tcW w:w="964" w:type="dxa"/>
          </w:tcPr>
          <w:p w:rsidR="00F25C85" w:rsidRDefault="00F25C85">
            <w:pPr>
              <w:pStyle w:val="ConsPlusNormal"/>
              <w:jc w:val="center"/>
            </w:pPr>
            <w:r>
              <w:t>6</w:t>
            </w:r>
          </w:p>
        </w:tc>
        <w:tc>
          <w:tcPr>
            <w:tcW w:w="964" w:type="dxa"/>
          </w:tcPr>
          <w:p w:rsidR="00F25C85" w:rsidRDefault="00F25C85">
            <w:pPr>
              <w:pStyle w:val="ConsPlusNormal"/>
              <w:jc w:val="center"/>
            </w:pPr>
            <w:r>
              <w:t>7</w:t>
            </w:r>
          </w:p>
        </w:tc>
        <w:tc>
          <w:tcPr>
            <w:tcW w:w="964" w:type="dxa"/>
          </w:tcPr>
          <w:p w:rsidR="00F25C85" w:rsidRDefault="00F25C85">
            <w:pPr>
              <w:pStyle w:val="ConsPlusNormal"/>
              <w:jc w:val="center"/>
            </w:pPr>
            <w:r>
              <w:t>8</w:t>
            </w:r>
          </w:p>
        </w:tc>
      </w:tr>
      <w:tr w:rsidR="00F25C85">
        <w:tc>
          <w:tcPr>
            <w:tcW w:w="2096" w:type="dxa"/>
            <w:vMerge w:val="restart"/>
          </w:tcPr>
          <w:p w:rsidR="00F25C85" w:rsidRDefault="00F25C85">
            <w:pPr>
              <w:pStyle w:val="ConsPlusNormal"/>
            </w:pPr>
            <w:proofErr w:type="spellStart"/>
            <w:r>
              <w:t>Алатырский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2,00</w:t>
            </w:r>
          </w:p>
        </w:tc>
        <w:tc>
          <w:tcPr>
            <w:tcW w:w="964" w:type="dxa"/>
          </w:tcPr>
          <w:p w:rsidR="00F25C85" w:rsidRDefault="00F25C85">
            <w:pPr>
              <w:pStyle w:val="ConsPlusNormal"/>
            </w:pPr>
          </w:p>
        </w:tc>
        <w:tc>
          <w:tcPr>
            <w:tcW w:w="964" w:type="dxa"/>
          </w:tcPr>
          <w:p w:rsidR="00F25C85" w:rsidRDefault="00F25C85">
            <w:pPr>
              <w:pStyle w:val="ConsPlusNormal"/>
              <w:jc w:val="center"/>
            </w:pPr>
            <w:r>
              <w:t>3,56</w:t>
            </w:r>
          </w:p>
        </w:tc>
        <w:tc>
          <w:tcPr>
            <w:tcW w:w="964" w:type="dxa"/>
          </w:tcPr>
          <w:p w:rsidR="00F25C85" w:rsidRDefault="00F25C85">
            <w:pPr>
              <w:pStyle w:val="ConsPlusNormal"/>
              <w:jc w:val="center"/>
            </w:pPr>
            <w:r>
              <w:t>2,55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3,53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4,19</w:t>
            </w:r>
          </w:p>
        </w:tc>
        <w:tc>
          <w:tcPr>
            <w:tcW w:w="964" w:type="dxa"/>
          </w:tcPr>
          <w:p w:rsidR="00F25C85" w:rsidRDefault="00F25C85">
            <w:pPr>
              <w:pStyle w:val="ConsPlusNormal"/>
              <w:jc w:val="center"/>
            </w:pPr>
            <w:r>
              <w:t>3,10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Аликовский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3,20</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9,50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3,41</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4,09</w:t>
            </w:r>
          </w:p>
        </w:tc>
        <w:tc>
          <w:tcPr>
            <w:tcW w:w="964" w:type="dxa"/>
          </w:tcPr>
          <w:p w:rsidR="00F25C85" w:rsidRDefault="00F25C85">
            <w:pPr>
              <w:pStyle w:val="ConsPlusNormal"/>
              <w:jc w:val="center"/>
            </w:pPr>
            <w:r>
              <w:t>9,50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proofErr w:type="spellStart"/>
            <w:r>
              <w:t>Батыревский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3,31</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5,24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3,63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proofErr w:type="spellStart"/>
            <w:r>
              <w:t>Вурнарский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2,00</w:t>
            </w:r>
          </w:p>
        </w:tc>
        <w:tc>
          <w:tcPr>
            <w:tcW w:w="964" w:type="dxa"/>
          </w:tcPr>
          <w:p w:rsidR="00F25C85" w:rsidRDefault="00F25C85">
            <w:pPr>
              <w:pStyle w:val="ConsPlusNormal"/>
            </w:pPr>
          </w:p>
        </w:tc>
        <w:tc>
          <w:tcPr>
            <w:tcW w:w="964" w:type="dxa"/>
          </w:tcPr>
          <w:p w:rsidR="00F25C85" w:rsidRDefault="00F25C85">
            <w:pPr>
              <w:pStyle w:val="ConsPlusNormal"/>
              <w:jc w:val="center"/>
            </w:pPr>
            <w:r>
              <w:t>3,56</w:t>
            </w:r>
          </w:p>
        </w:tc>
        <w:tc>
          <w:tcPr>
            <w:tcW w:w="964" w:type="dxa"/>
          </w:tcPr>
          <w:p w:rsidR="00F25C85" w:rsidRDefault="00F25C85">
            <w:pPr>
              <w:pStyle w:val="ConsPlusNormal"/>
              <w:jc w:val="center"/>
            </w:pPr>
            <w:r>
              <w:t>10,85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3,54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4,12</w:t>
            </w:r>
          </w:p>
        </w:tc>
        <w:tc>
          <w:tcPr>
            <w:tcW w:w="964" w:type="dxa"/>
          </w:tcPr>
          <w:p w:rsidR="00F25C85" w:rsidRDefault="00F25C85">
            <w:pPr>
              <w:pStyle w:val="ConsPlusNormal"/>
              <w:jc w:val="center"/>
            </w:pPr>
            <w:r>
              <w:t>10,85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lastRenderedPageBreak/>
              <w:t>Ибресинский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2,93</w:t>
            </w:r>
          </w:p>
        </w:tc>
        <w:tc>
          <w:tcPr>
            <w:tcW w:w="964" w:type="dxa"/>
          </w:tcPr>
          <w:p w:rsidR="00F25C85" w:rsidRDefault="00F25C85">
            <w:pPr>
              <w:pStyle w:val="ConsPlusNormal"/>
            </w:pPr>
          </w:p>
        </w:tc>
        <w:tc>
          <w:tcPr>
            <w:tcW w:w="964" w:type="dxa"/>
          </w:tcPr>
          <w:p w:rsidR="00F25C85" w:rsidRDefault="00F25C85">
            <w:pPr>
              <w:pStyle w:val="ConsPlusNormal"/>
              <w:jc w:val="center"/>
            </w:pPr>
            <w:r>
              <w:t>3,56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3,60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3,86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Канашский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3,03</w:t>
            </w:r>
          </w:p>
        </w:tc>
        <w:tc>
          <w:tcPr>
            <w:tcW w:w="964" w:type="dxa"/>
          </w:tcPr>
          <w:p w:rsidR="00F25C85" w:rsidRDefault="00F25C85">
            <w:pPr>
              <w:pStyle w:val="ConsPlusNormal"/>
            </w:pPr>
          </w:p>
        </w:tc>
        <w:tc>
          <w:tcPr>
            <w:tcW w:w="964" w:type="dxa"/>
          </w:tcPr>
          <w:p w:rsidR="00F25C85" w:rsidRDefault="00F25C85">
            <w:pPr>
              <w:pStyle w:val="ConsPlusNormal"/>
              <w:jc w:val="center"/>
            </w:pPr>
            <w:r>
              <w:t>3,57</w:t>
            </w:r>
          </w:p>
        </w:tc>
        <w:tc>
          <w:tcPr>
            <w:tcW w:w="964" w:type="dxa"/>
          </w:tcPr>
          <w:p w:rsidR="00F25C85" w:rsidRDefault="00F25C85">
            <w:pPr>
              <w:pStyle w:val="ConsPlusNormal"/>
              <w:jc w:val="center"/>
            </w:pPr>
            <w:r>
              <w:t>11,53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3,64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3,60</w:t>
            </w:r>
          </w:p>
        </w:tc>
        <w:tc>
          <w:tcPr>
            <w:tcW w:w="964" w:type="dxa"/>
          </w:tcPr>
          <w:p w:rsidR="00F25C85" w:rsidRDefault="00F25C85">
            <w:pPr>
              <w:pStyle w:val="ConsPlusNormal"/>
              <w:jc w:val="center"/>
            </w:pPr>
            <w:r>
              <w:t>12,47</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Козловский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2,73</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3,87</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3,11</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3,47</w:t>
            </w:r>
          </w:p>
        </w:tc>
        <w:tc>
          <w:tcPr>
            <w:tcW w:w="964" w:type="dxa"/>
          </w:tcPr>
          <w:p w:rsidR="00F25C85" w:rsidRDefault="00F25C85">
            <w:pPr>
              <w:pStyle w:val="ConsPlusNormal"/>
              <w:jc w:val="center"/>
            </w:pPr>
            <w:r>
              <w:t>4,50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Комсомольский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3,59</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7,36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4,58</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3,70</w:t>
            </w:r>
          </w:p>
        </w:tc>
        <w:tc>
          <w:tcPr>
            <w:tcW w:w="964" w:type="dxa"/>
          </w:tcPr>
          <w:p w:rsidR="00F25C85" w:rsidRDefault="00F25C85">
            <w:pPr>
              <w:pStyle w:val="ConsPlusNormal"/>
              <w:jc w:val="center"/>
            </w:pPr>
            <w:r>
              <w:t>7,36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Красноармейский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3,15</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3,46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3,82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proofErr w:type="spellStart"/>
            <w:r>
              <w:t>Красночетайский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3,44</w:t>
            </w:r>
          </w:p>
        </w:tc>
        <w:tc>
          <w:tcPr>
            <w:tcW w:w="964" w:type="dxa"/>
          </w:tcPr>
          <w:p w:rsidR="00F25C85" w:rsidRDefault="00F25C85">
            <w:pPr>
              <w:pStyle w:val="ConsPlusNormal"/>
            </w:pPr>
          </w:p>
        </w:tc>
        <w:tc>
          <w:tcPr>
            <w:tcW w:w="964" w:type="dxa"/>
          </w:tcPr>
          <w:p w:rsidR="00F25C85" w:rsidRDefault="00F25C85">
            <w:pPr>
              <w:pStyle w:val="ConsPlusNormal"/>
              <w:jc w:val="center"/>
            </w:pPr>
            <w:r>
              <w:t>3,56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1,37</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3,88</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3,84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1,37</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Мариинско-Посадский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2,68</w:t>
            </w:r>
          </w:p>
        </w:tc>
        <w:tc>
          <w:tcPr>
            <w:tcW w:w="964" w:type="dxa"/>
          </w:tcPr>
          <w:p w:rsidR="00F25C85" w:rsidRDefault="00F25C85">
            <w:pPr>
              <w:pStyle w:val="ConsPlusNormal"/>
            </w:pPr>
          </w:p>
        </w:tc>
        <w:tc>
          <w:tcPr>
            <w:tcW w:w="964" w:type="dxa"/>
          </w:tcPr>
          <w:p w:rsidR="00F25C85" w:rsidRDefault="00F25C85">
            <w:pPr>
              <w:pStyle w:val="ConsPlusNormal"/>
              <w:jc w:val="center"/>
            </w:pPr>
            <w:r>
              <w:t>3,57</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2,78</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4,10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proofErr w:type="spellStart"/>
            <w:r>
              <w:t>Моргаушский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2,68</w:t>
            </w:r>
          </w:p>
        </w:tc>
        <w:tc>
          <w:tcPr>
            <w:tcW w:w="964" w:type="dxa"/>
          </w:tcPr>
          <w:p w:rsidR="00F25C85" w:rsidRDefault="00F25C85">
            <w:pPr>
              <w:pStyle w:val="ConsPlusNormal"/>
            </w:pPr>
          </w:p>
        </w:tc>
        <w:tc>
          <w:tcPr>
            <w:tcW w:w="964" w:type="dxa"/>
          </w:tcPr>
          <w:p w:rsidR="00F25C85" w:rsidRDefault="00F25C85">
            <w:pPr>
              <w:pStyle w:val="ConsPlusNormal"/>
              <w:jc w:val="center"/>
            </w:pPr>
            <w:r>
              <w:t>3,57</w:t>
            </w:r>
          </w:p>
        </w:tc>
        <w:tc>
          <w:tcPr>
            <w:tcW w:w="964" w:type="dxa"/>
          </w:tcPr>
          <w:p w:rsidR="00F25C85" w:rsidRDefault="00F25C85">
            <w:pPr>
              <w:pStyle w:val="ConsPlusNormal"/>
              <w:jc w:val="center"/>
            </w:pPr>
            <w:r>
              <w:t>5,80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2,93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4,00</w:t>
            </w:r>
          </w:p>
        </w:tc>
        <w:tc>
          <w:tcPr>
            <w:tcW w:w="964" w:type="dxa"/>
          </w:tcPr>
          <w:p w:rsidR="00F25C85" w:rsidRDefault="00F25C85">
            <w:pPr>
              <w:pStyle w:val="ConsPlusNormal"/>
              <w:jc w:val="center"/>
            </w:pPr>
            <w:r>
              <w:t>5,80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Порецкий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2,81</w:t>
            </w:r>
          </w:p>
        </w:tc>
        <w:tc>
          <w:tcPr>
            <w:tcW w:w="964" w:type="dxa"/>
          </w:tcPr>
          <w:p w:rsidR="00F25C85" w:rsidRDefault="00F25C85">
            <w:pPr>
              <w:pStyle w:val="ConsPlusNormal"/>
            </w:pPr>
          </w:p>
        </w:tc>
        <w:tc>
          <w:tcPr>
            <w:tcW w:w="964" w:type="dxa"/>
          </w:tcPr>
          <w:p w:rsidR="00F25C85" w:rsidRDefault="00F25C85">
            <w:pPr>
              <w:pStyle w:val="ConsPlusNormal"/>
              <w:jc w:val="center"/>
            </w:pPr>
            <w:r>
              <w:t>3,57</w:t>
            </w:r>
          </w:p>
        </w:tc>
        <w:tc>
          <w:tcPr>
            <w:tcW w:w="964" w:type="dxa"/>
          </w:tcPr>
          <w:p w:rsidR="00F25C85" w:rsidRDefault="00F25C85">
            <w:pPr>
              <w:pStyle w:val="ConsPlusNormal"/>
              <w:jc w:val="center"/>
            </w:pPr>
            <w:r>
              <w:t>4,21</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4,81</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3,62</w:t>
            </w:r>
          </w:p>
        </w:tc>
        <w:tc>
          <w:tcPr>
            <w:tcW w:w="964" w:type="dxa"/>
          </w:tcPr>
          <w:p w:rsidR="00F25C85" w:rsidRDefault="00F25C85">
            <w:pPr>
              <w:pStyle w:val="ConsPlusNormal"/>
              <w:jc w:val="center"/>
            </w:pPr>
            <w:r>
              <w:t>4,21</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Урмарский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3,10</w:t>
            </w:r>
          </w:p>
        </w:tc>
        <w:tc>
          <w:tcPr>
            <w:tcW w:w="964" w:type="dxa"/>
          </w:tcPr>
          <w:p w:rsidR="00F25C85" w:rsidRDefault="00F25C85">
            <w:pPr>
              <w:pStyle w:val="ConsPlusNormal"/>
            </w:pPr>
          </w:p>
        </w:tc>
        <w:tc>
          <w:tcPr>
            <w:tcW w:w="964" w:type="dxa"/>
          </w:tcPr>
          <w:p w:rsidR="00F25C85" w:rsidRDefault="00F25C85">
            <w:pPr>
              <w:pStyle w:val="ConsPlusNormal"/>
              <w:jc w:val="center"/>
            </w:pPr>
            <w:r>
              <w:t>3,57</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3,29</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4,13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Цивильский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2,87</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3,26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3,99</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Чебоксарский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2,71</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12,85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3,16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4,03</w:t>
            </w:r>
          </w:p>
        </w:tc>
        <w:tc>
          <w:tcPr>
            <w:tcW w:w="964" w:type="dxa"/>
          </w:tcPr>
          <w:p w:rsidR="00F25C85" w:rsidRDefault="00F25C85">
            <w:pPr>
              <w:pStyle w:val="ConsPlusNormal"/>
              <w:jc w:val="center"/>
            </w:pPr>
            <w:r>
              <w:t>14,12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Шемуршинский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3,25</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4,90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3,48</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proofErr w:type="spellStart"/>
            <w:r>
              <w:t>Шумерлинский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2,88</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3,25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4,08</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Ядринский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2,72</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3,60</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3,03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3,88</w:t>
            </w:r>
          </w:p>
        </w:tc>
        <w:tc>
          <w:tcPr>
            <w:tcW w:w="964" w:type="dxa"/>
          </w:tcPr>
          <w:p w:rsidR="00F25C85" w:rsidRDefault="00F25C85">
            <w:pPr>
              <w:pStyle w:val="ConsPlusNormal"/>
              <w:jc w:val="center"/>
            </w:pPr>
            <w:r>
              <w:t>3,84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Яльчикский</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4,55</w:t>
            </w:r>
          </w:p>
        </w:tc>
        <w:tc>
          <w:tcPr>
            <w:tcW w:w="964" w:type="dxa"/>
          </w:tcPr>
          <w:p w:rsidR="00F25C85" w:rsidRDefault="00F25C85">
            <w:pPr>
              <w:pStyle w:val="ConsPlusNormal"/>
            </w:pPr>
          </w:p>
        </w:tc>
        <w:tc>
          <w:tcPr>
            <w:tcW w:w="964" w:type="dxa"/>
          </w:tcPr>
          <w:p w:rsidR="00F25C85" w:rsidRDefault="00F25C85">
            <w:pPr>
              <w:pStyle w:val="ConsPlusNormal"/>
              <w:jc w:val="center"/>
            </w:pPr>
            <w:r>
              <w:t>3,32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5,22</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3,79</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proofErr w:type="spellStart"/>
            <w:r>
              <w:t>Янтиковский</w:t>
            </w:r>
            <w:proofErr w:type="spellEnd"/>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2,86</w:t>
            </w:r>
          </w:p>
        </w:tc>
        <w:tc>
          <w:tcPr>
            <w:tcW w:w="964" w:type="dxa"/>
          </w:tcPr>
          <w:p w:rsidR="00F25C85" w:rsidRDefault="00F25C85">
            <w:pPr>
              <w:pStyle w:val="ConsPlusNormal"/>
            </w:pPr>
          </w:p>
        </w:tc>
        <w:tc>
          <w:tcPr>
            <w:tcW w:w="964" w:type="dxa"/>
          </w:tcPr>
          <w:p w:rsidR="00F25C85" w:rsidRDefault="00F25C85">
            <w:pPr>
              <w:pStyle w:val="ConsPlusNormal"/>
              <w:jc w:val="center"/>
            </w:pPr>
            <w:r>
              <w:t>4,14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3,36</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4,14</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2,00</w:t>
            </w:r>
          </w:p>
        </w:tc>
      </w:tr>
      <w:tr w:rsidR="00F25C85">
        <w:tc>
          <w:tcPr>
            <w:tcW w:w="2096" w:type="dxa"/>
            <w:vMerge w:val="restart"/>
          </w:tcPr>
          <w:p w:rsidR="00F25C85" w:rsidRDefault="00F25C85">
            <w:pPr>
              <w:pStyle w:val="ConsPlusNormal"/>
            </w:pPr>
            <w:r>
              <w:t>г. Канаш</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3,53</w:t>
            </w:r>
          </w:p>
        </w:tc>
        <w:tc>
          <w:tcPr>
            <w:tcW w:w="964" w:type="dxa"/>
          </w:tcPr>
          <w:p w:rsidR="00F25C85" w:rsidRDefault="00F25C85">
            <w:pPr>
              <w:pStyle w:val="ConsPlusNormal"/>
            </w:pP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3,53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r>
              <w:t>г. Чебоксары</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2,93</w:t>
            </w:r>
          </w:p>
        </w:tc>
        <w:tc>
          <w:tcPr>
            <w:tcW w:w="964" w:type="dxa"/>
          </w:tcPr>
          <w:p w:rsidR="00F25C85" w:rsidRDefault="00F25C85">
            <w:pPr>
              <w:pStyle w:val="ConsPlusNormal"/>
            </w:pP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2,95</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val="restart"/>
          </w:tcPr>
          <w:p w:rsidR="00F25C85" w:rsidRDefault="00F25C85">
            <w:pPr>
              <w:pStyle w:val="ConsPlusNormal"/>
            </w:pPr>
            <w:r>
              <w:lastRenderedPageBreak/>
              <w:t>г. Шумерля</w:t>
            </w:r>
          </w:p>
        </w:tc>
        <w:tc>
          <w:tcPr>
            <w:tcW w:w="1722" w:type="dxa"/>
          </w:tcPr>
          <w:p w:rsidR="00F25C85" w:rsidRDefault="00F25C85">
            <w:pPr>
              <w:pStyle w:val="ConsPlusNormal"/>
            </w:pPr>
            <w:r>
              <w:t>минимальное</w:t>
            </w:r>
          </w:p>
        </w:tc>
        <w:tc>
          <w:tcPr>
            <w:tcW w:w="964" w:type="dxa"/>
          </w:tcPr>
          <w:p w:rsidR="00F25C85" w:rsidRDefault="00F25C85">
            <w:pPr>
              <w:pStyle w:val="ConsPlusNormal"/>
              <w:jc w:val="center"/>
            </w:pPr>
            <w:r>
              <w:t>3,53</w:t>
            </w:r>
          </w:p>
        </w:tc>
        <w:tc>
          <w:tcPr>
            <w:tcW w:w="964" w:type="dxa"/>
          </w:tcPr>
          <w:p w:rsidR="00F25C85" w:rsidRDefault="00F25C85">
            <w:pPr>
              <w:pStyle w:val="ConsPlusNormal"/>
            </w:pP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2096" w:type="dxa"/>
            <w:vMerge/>
          </w:tcPr>
          <w:p w:rsidR="00F25C85" w:rsidRDefault="00F25C85"/>
        </w:tc>
        <w:tc>
          <w:tcPr>
            <w:tcW w:w="1722" w:type="dxa"/>
          </w:tcPr>
          <w:p w:rsidR="00F25C85" w:rsidRDefault="00F25C85">
            <w:pPr>
              <w:pStyle w:val="ConsPlusNormal"/>
            </w:pPr>
            <w:r>
              <w:t>среднее</w:t>
            </w:r>
          </w:p>
        </w:tc>
        <w:tc>
          <w:tcPr>
            <w:tcW w:w="964" w:type="dxa"/>
          </w:tcPr>
          <w:p w:rsidR="00F25C85" w:rsidRDefault="00F25C85">
            <w:pPr>
              <w:pStyle w:val="ConsPlusNormal"/>
              <w:jc w:val="center"/>
            </w:pPr>
            <w:r>
              <w:t>3,53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w:t>
            </w:r>
          </w:p>
        </w:tc>
      </w:tr>
      <w:tr w:rsidR="00F25C85">
        <w:tc>
          <w:tcPr>
            <w:tcW w:w="3818" w:type="dxa"/>
            <w:gridSpan w:val="2"/>
          </w:tcPr>
          <w:p w:rsidR="00F25C85" w:rsidRDefault="00F25C85">
            <w:pPr>
              <w:pStyle w:val="ConsPlusNormal"/>
            </w:pPr>
            <w:r>
              <w:t>Среднее по Чувашской Республике</w:t>
            </w:r>
          </w:p>
        </w:tc>
        <w:tc>
          <w:tcPr>
            <w:tcW w:w="964" w:type="dxa"/>
          </w:tcPr>
          <w:p w:rsidR="00F25C85" w:rsidRDefault="00F25C85">
            <w:pPr>
              <w:pStyle w:val="ConsPlusNormal"/>
              <w:jc w:val="center"/>
            </w:pPr>
            <w:r>
              <w:t>3,73</w:t>
            </w:r>
          </w:p>
        </w:tc>
        <w:tc>
          <w:tcPr>
            <w:tcW w:w="964" w:type="dxa"/>
          </w:tcPr>
          <w:p w:rsidR="00F25C85" w:rsidRDefault="00F25C85">
            <w:pPr>
              <w:pStyle w:val="ConsPlusNormal"/>
              <w:jc w:val="center"/>
            </w:pPr>
            <w:r>
              <w:t>-</w:t>
            </w:r>
          </w:p>
        </w:tc>
        <w:tc>
          <w:tcPr>
            <w:tcW w:w="964" w:type="dxa"/>
          </w:tcPr>
          <w:p w:rsidR="00F25C85" w:rsidRDefault="00F25C85">
            <w:pPr>
              <w:pStyle w:val="ConsPlusNormal"/>
              <w:jc w:val="center"/>
            </w:pPr>
            <w:r>
              <w:t>3,97</w:t>
            </w:r>
          </w:p>
        </w:tc>
        <w:tc>
          <w:tcPr>
            <w:tcW w:w="964" w:type="dxa"/>
          </w:tcPr>
          <w:p w:rsidR="00F25C85" w:rsidRDefault="00F25C85">
            <w:pPr>
              <w:pStyle w:val="ConsPlusNormal"/>
              <w:jc w:val="center"/>
            </w:pPr>
            <w:r>
              <w:t>6,31</w:t>
            </w:r>
          </w:p>
        </w:tc>
        <w:tc>
          <w:tcPr>
            <w:tcW w:w="964" w:type="dxa"/>
          </w:tcPr>
          <w:p w:rsidR="00F25C85" w:rsidRDefault="00F25C85">
            <w:pPr>
              <w:pStyle w:val="ConsPlusNormal"/>
              <w:jc w:val="center"/>
            </w:pPr>
            <w:r>
              <w:t>1,37</w:t>
            </w:r>
          </w:p>
        </w:tc>
        <w:tc>
          <w:tcPr>
            <w:tcW w:w="964" w:type="dxa"/>
          </w:tcPr>
          <w:p w:rsidR="00F25C85" w:rsidRDefault="00F25C85">
            <w:pPr>
              <w:pStyle w:val="ConsPlusNormal"/>
              <w:jc w:val="center"/>
            </w:pPr>
            <w:r>
              <w:t>2,00</w:t>
            </w:r>
          </w:p>
        </w:tc>
      </w:tr>
    </w:tbl>
    <w:p w:rsidR="00F25C85" w:rsidRDefault="00F25C85">
      <w:pPr>
        <w:pStyle w:val="ConsPlusNormal"/>
        <w:jc w:val="both"/>
      </w:pPr>
    </w:p>
    <w:p w:rsidR="00F25C85" w:rsidRDefault="00F25C85">
      <w:pPr>
        <w:pStyle w:val="ConsPlusNormal"/>
        <w:ind w:firstLine="540"/>
        <w:jc w:val="both"/>
      </w:pPr>
      <w:r>
        <w:t>Группы видов разрешенного использования земельных участков:</w:t>
      </w:r>
    </w:p>
    <w:p w:rsidR="00F25C85" w:rsidRDefault="00F25C85">
      <w:pPr>
        <w:pStyle w:val="ConsPlusNormal"/>
        <w:ind w:firstLine="540"/>
        <w:jc w:val="both"/>
      </w:pPr>
      <w:bookmarkStart w:id="3" w:name="P442"/>
      <w:bookmarkEnd w:id="3"/>
      <w:r>
        <w:t>I группа. 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негативного воздействия, а также водными объектами, предназначенными для обеспечения внутрихозяйственной деятельности.</w:t>
      </w:r>
    </w:p>
    <w:p w:rsidR="00F25C85" w:rsidRDefault="00F25C85">
      <w:pPr>
        <w:pStyle w:val="ConsPlusNormal"/>
        <w:ind w:firstLine="540"/>
        <w:jc w:val="both"/>
      </w:pPr>
      <w:bookmarkStart w:id="4" w:name="P443"/>
      <w:bookmarkEnd w:id="4"/>
      <w:r>
        <w:t>II группа. Земли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p w:rsidR="00F25C85" w:rsidRDefault="00F25C85">
      <w:pPr>
        <w:pStyle w:val="ConsPlusNormal"/>
        <w:ind w:firstLine="540"/>
        <w:jc w:val="both"/>
      </w:pPr>
      <w:bookmarkStart w:id="5" w:name="P444"/>
      <w:bookmarkEnd w:id="5"/>
      <w:r>
        <w:t>III группа. Земли сельскохозяйственного назначения, занятые зданиями, строениями, сооружениями, используемыми для производства, хранения и первичной переработки сельскохозяйственной продукции.</w:t>
      </w:r>
    </w:p>
    <w:p w:rsidR="00F25C85" w:rsidRDefault="00F25C85">
      <w:pPr>
        <w:pStyle w:val="ConsPlusNormal"/>
        <w:ind w:firstLine="540"/>
        <w:jc w:val="both"/>
      </w:pPr>
      <w:bookmarkStart w:id="6" w:name="P445"/>
      <w:bookmarkEnd w:id="6"/>
      <w:r>
        <w:t>IV группа. Земли сельскохозяйственного назначения, занятые водными объектами и используемые для предпринимательской деятельности.</w:t>
      </w:r>
    </w:p>
    <w:p w:rsidR="00F25C85" w:rsidRDefault="00F25C85">
      <w:pPr>
        <w:pStyle w:val="ConsPlusNormal"/>
        <w:ind w:firstLine="540"/>
        <w:jc w:val="both"/>
      </w:pPr>
      <w:bookmarkStart w:id="7" w:name="P446"/>
      <w:bookmarkEnd w:id="7"/>
      <w:r>
        <w:t>V группа. Земли сельскохозяйственного назначения, на которых располагаются леса.</w:t>
      </w:r>
    </w:p>
    <w:p w:rsidR="00F25C85" w:rsidRDefault="00F25C85">
      <w:pPr>
        <w:pStyle w:val="ConsPlusNormal"/>
        <w:ind w:firstLine="540"/>
        <w:jc w:val="both"/>
      </w:pPr>
      <w:bookmarkStart w:id="8" w:name="P447"/>
      <w:bookmarkEnd w:id="8"/>
      <w:r>
        <w:t>VI группа. Прочие земли сельскохозяйственного назначения, в том числе болота, нарушенные земли, земли, занятые полигонами, свалками, оврагами, песками, за исключением земельных участков в составе земель сельскохозяйственного назначения в границах садоводческих, огороднических и дачных объединений.</w:t>
      </w:r>
    </w:p>
    <w:p w:rsidR="00F25C85" w:rsidRDefault="00F25C85">
      <w:pPr>
        <w:pStyle w:val="ConsPlusNormal"/>
        <w:jc w:val="both"/>
      </w:pPr>
    </w:p>
    <w:p w:rsidR="00F25C85" w:rsidRDefault="00F25C85">
      <w:pPr>
        <w:pStyle w:val="ConsPlusNormal"/>
        <w:jc w:val="both"/>
      </w:pPr>
    </w:p>
    <w:p w:rsidR="00F25C85" w:rsidRDefault="00F25C85">
      <w:pPr>
        <w:pStyle w:val="ConsPlusNormal"/>
        <w:pBdr>
          <w:top w:val="single" w:sz="6" w:space="0" w:color="auto"/>
        </w:pBdr>
        <w:spacing w:before="100" w:after="100"/>
        <w:jc w:val="both"/>
        <w:rPr>
          <w:sz w:val="2"/>
          <w:szCs w:val="2"/>
        </w:rPr>
      </w:pPr>
    </w:p>
    <w:p w:rsidR="008C6BEC" w:rsidRDefault="008C6BEC"/>
    <w:sectPr w:rsidR="008C6BEC" w:rsidSect="00FA04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85"/>
    <w:rsid w:val="008C6BEC"/>
    <w:rsid w:val="00F2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C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C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59751801CEBD35C7B06CB139141A13FFD8487A5523850691C7CB36250FFAA4AC25597B3B103ACC3072B55P1H" TargetMode="External"/><Relationship Id="rId3" Type="http://schemas.openxmlformats.org/officeDocument/2006/relationships/settings" Target="settings.xml"/><Relationship Id="rId7" Type="http://schemas.openxmlformats.org/officeDocument/2006/relationships/hyperlink" Target="consultantplus://offline/ref=53759751801CEBD35C7B06CB139141A13FFD8487A5523951691C7CB36250FFAA54P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759751801CEBD35C7B18C605FD1FA535F6DB89A251330F3D4327EE3559F5FD0D8D0CD0F55BP5H" TargetMode="External"/><Relationship Id="rId5" Type="http://schemas.openxmlformats.org/officeDocument/2006/relationships/hyperlink" Target="consultantplus://offline/ref=53759751801CEBD35C7B18C605FD1FA535F6DA88A351330F3D4327EE3559F5FD0D8D0CD5F7BD03AD5CP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2017-02-22T07:15:00Z</dcterms:created>
  <dcterms:modified xsi:type="dcterms:W3CDTF">2017-02-22T07:16:00Z</dcterms:modified>
</cp:coreProperties>
</file>