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03" w:rsidRDefault="00702F03">
      <w:pPr>
        <w:widowControl w:val="0"/>
        <w:autoSpaceDE w:val="0"/>
        <w:autoSpaceDN w:val="0"/>
        <w:adjustRightInd w:val="0"/>
        <w:spacing w:after="0" w:line="240" w:lineRule="auto"/>
        <w:jc w:val="both"/>
        <w:outlineLvl w:val="0"/>
        <w:rPr>
          <w:rFonts w:ascii="Calibri" w:hAnsi="Calibri" w:cs="Calibri"/>
        </w:rPr>
      </w:pPr>
    </w:p>
    <w:p w:rsidR="00702F03" w:rsidRDefault="00702F03">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702F03" w:rsidRDefault="00702F03">
      <w:pPr>
        <w:widowControl w:val="0"/>
        <w:autoSpaceDE w:val="0"/>
        <w:autoSpaceDN w:val="0"/>
        <w:adjustRightInd w:val="0"/>
        <w:spacing w:after="0" w:line="240" w:lineRule="auto"/>
        <w:jc w:val="right"/>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702F03" w:rsidRDefault="00702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1999 года</w:t>
      </w:r>
    </w:p>
    <w:p w:rsidR="00702F03" w:rsidRDefault="00702F03">
      <w:pPr>
        <w:widowControl w:val="0"/>
        <w:autoSpaceDE w:val="0"/>
        <w:autoSpaceDN w:val="0"/>
        <w:adjustRightInd w:val="0"/>
        <w:spacing w:after="0" w:line="240" w:lineRule="auto"/>
        <w:jc w:val="center"/>
        <w:rPr>
          <w:rFonts w:ascii="Calibri" w:hAnsi="Calibri" w:cs="Calibri"/>
          <w:b/>
          <w:bCs/>
        </w:rPr>
      </w:pPr>
    </w:p>
    <w:p w:rsidR="00702F03" w:rsidRDefault="00702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ПРЕАМБУЛА</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и другие государства, подписавшие настоящую Конвенцию,</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 Совета Европы заключается в достижении большего единства между его членами,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также, что в резолюции (97) 24 относительно 20 руководящих </w:t>
      </w:r>
      <w:r>
        <w:rPr>
          <w:rFonts w:ascii="Calibri" w:hAnsi="Calibri" w:cs="Calibri"/>
        </w:rPr>
        <w:lastRenderedPageBreak/>
        <w:t>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0"/>
        <w:rPr>
          <w:rFonts w:ascii="Calibri" w:hAnsi="Calibri" w:cs="Calibri"/>
        </w:rPr>
      </w:pPr>
      <w:bookmarkStart w:id="1" w:name="Par26"/>
      <w:bookmarkEnd w:id="1"/>
      <w:r>
        <w:rPr>
          <w:rFonts w:ascii="Calibri" w:hAnsi="Calibri" w:cs="Calibri"/>
        </w:rPr>
        <w:t>Глава I</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2" w:name="Par30"/>
      <w:bookmarkEnd w:id="2"/>
      <w:r>
        <w:rPr>
          <w:rFonts w:ascii="Calibri" w:hAnsi="Calibri" w:cs="Calibri"/>
        </w:rPr>
        <w:t>Статья 1</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 Определения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термин "судья", упомянутый в </w:t>
      </w:r>
      <w:hyperlink w:anchor="Par35" w:history="1">
        <w:r>
          <w:rPr>
            <w:rFonts w:ascii="Calibri" w:hAnsi="Calibri" w:cs="Calibri"/>
            <w:color w:val="0000FF"/>
          </w:rPr>
          <w:t>подпункте "a"</w:t>
        </w:r>
      </w:hyperlink>
      <w:r>
        <w:rPr>
          <w:rFonts w:ascii="Calibri" w:hAnsi="Calibri" w:cs="Calibri"/>
        </w:rPr>
        <w:t xml:space="preserve"> выше, включает прокуроров и лиц, занимающих судебные должности;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0"/>
        <w:rPr>
          <w:rFonts w:ascii="Calibri" w:hAnsi="Calibri" w:cs="Calibri"/>
        </w:rPr>
      </w:pPr>
      <w:bookmarkStart w:id="4" w:name="Par40"/>
      <w:bookmarkEnd w:id="4"/>
      <w:r>
        <w:rPr>
          <w:rFonts w:ascii="Calibri" w:hAnsi="Calibri" w:cs="Calibri"/>
        </w:rPr>
        <w:t>Глава II</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Меры, которые должны быть приняты на национальном уровне</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Статья 2</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национальных публичных должностных лиц</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6" w:name="Par50"/>
      <w:bookmarkEnd w:id="6"/>
      <w:r>
        <w:rPr>
          <w:rFonts w:ascii="Calibri" w:hAnsi="Calibri" w:cs="Calibri"/>
        </w:rPr>
        <w:t>Статья 3</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национальных публичных должностных лиц</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7" w:name="Par56"/>
      <w:bookmarkEnd w:id="7"/>
      <w:r>
        <w:rPr>
          <w:rFonts w:ascii="Calibri" w:hAnsi="Calibri" w:cs="Calibri"/>
        </w:rPr>
        <w:t>Статья 4</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национальных публичных собраний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8" w:name="Par62"/>
      <w:bookmarkEnd w:id="8"/>
      <w:r>
        <w:rPr>
          <w:rFonts w:ascii="Calibri" w:hAnsi="Calibri" w:cs="Calibri"/>
        </w:rPr>
        <w:t>Статья 5</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9" w:name="Par68"/>
      <w:bookmarkEnd w:id="9"/>
      <w:r>
        <w:rPr>
          <w:rFonts w:ascii="Calibri" w:hAnsi="Calibri" w:cs="Calibri"/>
        </w:rPr>
        <w:t>Статья 6</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иностранных публичных собраний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0" w:name="Par74"/>
      <w:bookmarkEnd w:id="10"/>
      <w:r>
        <w:rPr>
          <w:rFonts w:ascii="Calibri" w:hAnsi="Calibri" w:cs="Calibri"/>
        </w:rPr>
        <w:t>Статья 7</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в частном секторе</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Статья 8</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в частном секторе</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Статья 9</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международных организаций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3" w:name="Par92"/>
      <w:bookmarkEnd w:id="13"/>
      <w:r>
        <w:rPr>
          <w:rFonts w:ascii="Calibri" w:hAnsi="Calibri" w:cs="Calibri"/>
        </w:rPr>
        <w:t>Статья 10</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международных парламентских собраний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4" w:name="Par98"/>
      <w:bookmarkEnd w:id="14"/>
      <w:r>
        <w:rPr>
          <w:rFonts w:ascii="Calibri" w:hAnsi="Calibri" w:cs="Calibri"/>
        </w:rPr>
        <w:t>Статья 11</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Подкуп судей и должностных лиц международных судов</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5" w:name="Par104"/>
      <w:bookmarkEnd w:id="15"/>
      <w:r>
        <w:rPr>
          <w:rFonts w:ascii="Calibri" w:hAnsi="Calibri" w:cs="Calibri"/>
        </w:rPr>
        <w:t>Статья 12</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history="1">
        <w:r>
          <w:rPr>
            <w:rFonts w:ascii="Calibri" w:hAnsi="Calibri" w:cs="Calibri"/>
            <w:color w:val="0000FF"/>
          </w:rPr>
          <w:t>статьях 2</w:t>
        </w:r>
      </w:hyperlink>
      <w:r>
        <w:rPr>
          <w:rFonts w:ascii="Calibri" w:hAnsi="Calibri" w:cs="Calibri"/>
        </w:rPr>
        <w:t xml:space="preserve">, </w:t>
      </w:r>
      <w:hyperlink w:anchor="Par56" w:history="1">
        <w:r>
          <w:rPr>
            <w:rFonts w:ascii="Calibri" w:hAnsi="Calibri" w:cs="Calibri"/>
            <w:color w:val="0000FF"/>
          </w:rPr>
          <w:t>4</w:t>
        </w:r>
      </w:hyperlink>
      <w:r>
        <w:rPr>
          <w:rFonts w:ascii="Calibri" w:hAnsi="Calibri" w:cs="Calibri"/>
        </w:rPr>
        <w:t xml:space="preserve"> - </w:t>
      </w:r>
      <w:hyperlink w:anchor="Par68" w:history="1">
        <w:r>
          <w:rPr>
            <w:rFonts w:ascii="Calibri" w:hAnsi="Calibri" w:cs="Calibri"/>
            <w:color w:val="0000FF"/>
          </w:rPr>
          <w:t>6</w:t>
        </w:r>
      </w:hyperlink>
      <w:r>
        <w:rPr>
          <w:rFonts w:ascii="Calibri" w:hAnsi="Calibri" w:cs="Calibri"/>
        </w:rPr>
        <w:t xml:space="preserve"> и </w:t>
      </w:r>
      <w:hyperlink w:anchor="Par86" w:history="1">
        <w:r>
          <w:rPr>
            <w:rFonts w:ascii="Calibri" w:hAnsi="Calibri" w:cs="Calibri"/>
            <w:color w:val="0000FF"/>
          </w:rPr>
          <w:t>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xml:space="preserve">, за вознаграждение, независимо от того, предоставляется ли такое преимущество ему самому или кому-либо еще, а также просьбу, </w:t>
      </w:r>
      <w:r>
        <w:rPr>
          <w:rFonts w:ascii="Calibri" w:hAnsi="Calibri" w:cs="Calibri"/>
        </w:rPr>
        <w:lastRenderedPageBreak/>
        <w:t>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6" w:name="Par110"/>
      <w:bookmarkEnd w:id="16"/>
      <w:r>
        <w:rPr>
          <w:rFonts w:ascii="Calibri" w:hAnsi="Calibri" w:cs="Calibri"/>
        </w:rPr>
        <w:t>Статья 13</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 связанных с коррупцией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rFonts w:ascii="Calibri" w:hAnsi="Calibri" w:cs="Calibri"/>
            <w:color w:val="0000FF"/>
          </w:rPr>
          <w:t>пунктах 1</w:t>
        </w:r>
      </w:hyperlink>
      <w:r>
        <w:rPr>
          <w:rFonts w:ascii="Calibri" w:hAnsi="Calibri" w:cs="Calibri"/>
        </w:rPr>
        <w:t xml:space="preserve"> и </w:t>
      </w:r>
      <w:hyperlink r:id="rId6"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7" w:name="Par116"/>
      <w:bookmarkEnd w:id="17"/>
      <w:r>
        <w:rPr>
          <w:rFonts w:ascii="Calibri" w:hAnsi="Calibri" w:cs="Calibri"/>
        </w:rPr>
        <w:t>Статья 14</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в сфере бухгалтерского учета</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ascii="Calibri" w:hAnsi="Calibri" w:cs="Calibri"/>
            <w:color w:val="0000FF"/>
          </w:rPr>
          <w:t>статьях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противоправное невнесение в бухгалтерские книги сведений о платежных операциях.</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8" w:name="Par124"/>
      <w:bookmarkEnd w:id="18"/>
      <w:r>
        <w:rPr>
          <w:rFonts w:ascii="Calibri" w:hAnsi="Calibri" w:cs="Calibri"/>
        </w:rPr>
        <w:t>Статья 15</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Соучастие</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19" w:name="Par130"/>
      <w:bookmarkEnd w:id="19"/>
      <w:r>
        <w:rPr>
          <w:rFonts w:ascii="Calibri" w:hAnsi="Calibri" w:cs="Calibri"/>
        </w:rPr>
        <w:t>Статья 16</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Иммунитет</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20" w:name="Par136"/>
      <w:bookmarkEnd w:id="20"/>
      <w:r>
        <w:rPr>
          <w:rFonts w:ascii="Calibri" w:hAnsi="Calibri" w:cs="Calibri"/>
        </w:rPr>
        <w:t>Статья 17</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в случаях, когда:</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полностью или частично на ее территории;</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21" w:name="Par142"/>
      <w:bookmarkEnd w:id="21"/>
      <w:r>
        <w:rPr>
          <w:rFonts w:ascii="Calibri" w:hAnsi="Calibri" w:cs="Calibri"/>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22" w:name="Par143"/>
      <w:bookmarkEnd w:id="22"/>
      <w:r>
        <w:rPr>
          <w:rFonts w:ascii="Calibri" w:hAnsi="Calibri" w:cs="Calibri"/>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ascii="Calibri" w:hAnsi="Calibri" w:cs="Calibri"/>
            <w:color w:val="0000FF"/>
          </w:rPr>
          <w:t>статьях 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которое при этом является одним из ее граждан.</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23" w:name="Par144"/>
      <w:bookmarkEnd w:id="23"/>
      <w:r>
        <w:rPr>
          <w:rFonts w:ascii="Calibri" w:hAnsi="Calibri" w:cs="Calibri"/>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ascii="Calibri" w:hAnsi="Calibri" w:cs="Calibri"/>
            <w:color w:val="0000FF"/>
          </w:rPr>
          <w:t>подпунктах "b"</w:t>
        </w:r>
      </w:hyperlink>
      <w:r>
        <w:rPr>
          <w:rFonts w:ascii="Calibri" w:hAnsi="Calibri" w:cs="Calibri"/>
        </w:rPr>
        <w:t xml:space="preserve"> и </w:t>
      </w:r>
      <w:hyperlink w:anchor="Par143" w:history="1">
        <w:r>
          <w:rPr>
            <w:rFonts w:ascii="Calibri" w:hAnsi="Calibri" w:cs="Calibri"/>
            <w:color w:val="0000FF"/>
          </w:rPr>
          <w:t>"c" пункта 1 настоящей статьи</w:t>
        </w:r>
      </w:hyperlink>
      <w:r>
        <w:rPr>
          <w:rFonts w:ascii="Calibri" w:hAnsi="Calibri" w:cs="Calibri"/>
        </w:rPr>
        <w:t xml:space="preserve"> или любой ее части.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Сторона использует право на оговорку, предусмотренное </w:t>
      </w:r>
      <w:hyperlink w:anchor="Par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24" w:name="Par148"/>
      <w:bookmarkEnd w:id="24"/>
      <w:r>
        <w:rPr>
          <w:rFonts w:ascii="Calibri" w:hAnsi="Calibri" w:cs="Calibri"/>
        </w:rPr>
        <w:t>Статья 18</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25" w:name="Par152"/>
      <w:bookmarkEnd w:id="25"/>
      <w:r>
        <w:rPr>
          <w:rFonts w:ascii="Calibri" w:hAnsi="Calibri" w:cs="Calibri"/>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представительских функций от имени юридического лица; или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права на принятие решений от имени юридического лица; или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контрольных функций в рамках юридического лица;</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26" w:name="Par157"/>
      <w:bookmarkEnd w:id="26"/>
      <w:r>
        <w:rPr>
          <w:rFonts w:ascii="Calibri" w:hAnsi="Calibri" w:cs="Calibri"/>
        </w:rPr>
        <w:t xml:space="preserve">2. Помимо случаев, уже предусмотренных </w:t>
      </w:r>
      <w:hyperlink w:anchor="Par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 в интересах этого юридического лица физическим лицом, осуществляющим свои полномочия от его имени.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юридического лица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27" w:name="Par160"/>
      <w:bookmarkEnd w:id="27"/>
      <w:r>
        <w:rPr>
          <w:rFonts w:ascii="Calibri" w:hAnsi="Calibri" w:cs="Calibri"/>
        </w:rPr>
        <w:t>Статья 19</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Санкции и меры</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 статьи 18</w:t>
        </w:r>
      </w:hyperlink>
      <w:r>
        <w:rPr>
          <w:rFonts w:ascii="Calibri" w:hAnsi="Calibri" w:cs="Calibri"/>
        </w:rPr>
        <w:t>, применялись эффективные, соразмерные и сдерживающие уголовные или неуголовные санкции, в том числе финансового характера.</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28" w:name="Par166"/>
      <w:bookmarkEnd w:id="28"/>
      <w:r>
        <w:rPr>
          <w:rFonts w:ascii="Calibri" w:hAnsi="Calibri" w:cs="Calibri"/>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29" w:name="Par168"/>
      <w:bookmarkEnd w:id="29"/>
      <w:r>
        <w:rPr>
          <w:rFonts w:ascii="Calibri" w:hAnsi="Calibri" w:cs="Calibri"/>
        </w:rPr>
        <w:t>Статья 20</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полномочия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30" w:name="Par174"/>
      <w:bookmarkEnd w:id="30"/>
      <w:r>
        <w:rPr>
          <w:rFonts w:ascii="Calibri" w:hAnsi="Calibri" w:cs="Calibri"/>
        </w:rPr>
        <w:t>Статья 21</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национальными органами и между ними</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или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предоставления этим органам по их просьбе всей необходимой информации.</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31" w:name="Par182"/>
      <w:bookmarkEnd w:id="31"/>
      <w:r>
        <w:rPr>
          <w:rFonts w:ascii="Calibri" w:hAnsi="Calibri" w:cs="Calibri"/>
        </w:rPr>
        <w:t>Статья 22</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сотрудничающих с правосудием, и свидетелей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тех, кто сообщает об уголовных правонарушениях,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свидетелей, дающих показания, касающиеся таких правонарушений.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32" w:name="Par190"/>
      <w:bookmarkEnd w:id="32"/>
      <w:r>
        <w:rPr>
          <w:rFonts w:ascii="Calibri" w:hAnsi="Calibri" w:cs="Calibri"/>
        </w:rPr>
        <w:t>Статья 23</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Меры по содействию сбору доказательств и конфискации доходов</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33" w:name="Par194"/>
      <w:bookmarkEnd w:id="33"/>
      <w:r>
        <w:rPr>
          <w:rFonts w:ascii="Calibri" w:hAnsi="Calibri" w:cs="Calibri"/>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34" w:name="Par195"/>
      <w:bookmarkEnd w:id="34"/>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ascii="Calibri" w:hAnsi="Calibri" w:cs="Calibri"/>
            <w:color w:val="0000FF"/>
          </w:rPr>
          <w:t>пунктом 1 настоящей статьи</w:t>
        </w:r>
      </w:hyperlink>
      <w:r>
        <w:rPr>
          <w:rFonts w:ascii="Calibri" w:hAnsi="Calibri" w:cs="Calibri"/>
        </w:rPr>
        <w:t>.</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тайна не является препятствием для осуществления мер, предусмотренных </w:t>
      </w:r>
      <w:hyperlink w:anchor="Par194" w:history="1">
        <w:r>
          <w:rPr>
            <w:rFonts w:ascii="Calibri" w:hAnsi="Calibri" w:cs="Calibri"/>
            <w:color w:val="0000FF"/>
          </w:rPr>
          <w:t>пунктами 1</w:t>
        </w:r>
      </w:hyperlink>
      <w:r>
        <w:rPr>
          <w:rFonts w:ascii="Calibri" w:hAnsi="Calibri" w:cs="Calibri"/>
        </w:rPr>
        <w:t xml:space="preserve"> и </w:t>
      </w:r>
      <w:hyperlink w:anchor="Par195" w:history="1">
        <w:r>
          <w:rPr>
            <w:rFonts w:ascii="Calibri" w:hAnsi="Calibri" w:cs="Calibri"/>
            <w:color w:val="0000FF"/>
          </w:rPr>
          <w:t>2 настоящей статьи</w:t>
        </w:r>
      </w:hyperlink>
      <w:r>
        <w:rPr>
          <w:rFonts w:ascii="Calibri" w:hAnsi="Calibri" w:cs="Calibri"/>
        </w:rPr>
        <w:t>.</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0"/>
        <w:rPr>
          <w:rFonts w:ascii="Calibri" w:hAnsi="Calibri" w:cs="Calibri"/>
        </w:rPr>
      </w:pPr>
      <w:bookmarkStart w:id="35" w:name="Par198"/>
      <w:bookmarkEnd w:id="35"/>
      <w:r>
        <w:rPr>
          <w:rFonts w:ascii="Calibri" w:hAnsi="Calibri" w:cs="Calibri"/>
        </w:rPr>
        <w:t>Глава III</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выполнения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36" w:name="Par202"/>
      <w:bookmarkEnd w:id="36"/>
      <w:r>
        <w:rPr>
          <w:rFonts w:ascii="Calibri" w:hAnsi="Calibri" w:cs="Calibri"/>
        </w:rPr>
        <w:t>Статья 24</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Договаривающимися Сторонами настоящей Конвенции осуществляется Группой государств против коррупции (ГРЕКО).</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0"/>
        <w:rPr>
          <w:rFonts w:ascii="Calibri" w:hAnsi="Calibri" w:cs="Calibri"/>
        </w:rPr>
      </w:pPr>
      <w:bookmarkStart w:id="37" w:name="Par208"/>
      <w:bookmarkEnd w:id="37"/>
      <w:r>
        <w:rPr>
          <w:rFonts w:ascii="Calibri" w:hAnsi="Calibri" w:cs="Calibri"/>
        </w:rPr>
        <w:t>Глава IV</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38" w:name="Par212"/>
      <w:bookmarkEnd w:id="38"/>
      <w:r>
        <w:rPr>
          <w:rFonts w:ascii="Calibri" w:hAnsi="Calibri" w:cs="Calibri"/>
        </w:rPr>
        <w:t>Статья 25</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Общие принципы и меры в области</w:t>
      </w: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39" w:name="Par217"/>
      <w:bookmarkEnd w:id="39"/>
      <w:r>
        <w:rPr>
          <w:rFonts w:ascii="Calibri" w:hAnsi="Calibri" w:cs="Calibri"/>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ascii="Calibri" w:hAnsi="Calibri" w:cs="Calibri"/>
            <w:color w:val="0000FF"/>
          </w:rPr>
          <w:t>пункте 1</w:t>
        </w:r>
      </w:hyperlink>
      <w:r>
        <w:rPr>
          <w:rFonts w:ascii="Calibri" w:hAnsi="Calibri" w:cs="Calibri"/>
        </w:rPr>
        <w:t xml:space="preserve">, применяются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ascii="Calibri" w:hAnsi="Calibri" w:cs="Calibri"/>
            <w:color w:val="0000FF"/>
          </w:rPr>
          <w:t>пункте 1</w:t>
        </w:r>
      </w:hyperlink>
      <w:r>
        <w:rPr>
          <w:rFonts w:ascii="Calibri" w:hAnsi="Calibri" w:cs="Calibri"/>
        </w:rPr>
        <w:t>.</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40" w:name="Par221"/>
      <w:bookmarkEnd w:id="40"/>
      <w:r>
        <w:rPr>
          <w:rFonts w:ascii="Calibri" w:hAnsi="Calibri" w:cs="Calibri"/>
        </w:rPr>
        <w:t>Статья 26</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помощь</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41" w:name="Par225"/>
      <w:bookmarkEnd w:id="41"/>
      <w:r>
        <w:rPr>
          <w:rFonts w:ascii="Calibri" w:hAnsi="Calibri" w:cs="Calibri"/>
        </w:rPr>
        <w:t xml:space="preserve">1. Стороны оказывают друг другу максимально возможную взаимную помощь, обеспечивая </w:t>
      </w:r>
      <w:r>
        <w:rPr>
          <w:rFonts w:ascii="Calibri" w:hAnsi="Calibri" w:cs="Calibri"/>
        </w:rPr>
        <w:lastRenderedPageBreak/>
        <w:t>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взаимной правовой помощи в соответствии с </w:t>
      </w:r>
      <w:hyperlink w:anchor="Par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42" w:name="Par229"/>
      <w:bookmarkEnd w:id="42"/>
      <w:r>
        <w:rPr>
          <w:rFonts w:ascii="Calibri" w:hAnsi="Calibri" w:cs="Calibri"/>
        </w:rPr>
        <w:t>Статья 27</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43" w:name="Par239"/>
      <w:bookmarkEnd w:id="43"/>
      <w:r>
        <w:rPr>
          <w:rFonts w:ascii="Calibri" w:hAnsi="Calibri" w:cs="Calibri"/>
        </w:rPr>
        <w:t>Статья 28</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предоставляемая по собственной инициативе</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44" w:name="Par245"/>
      <w:bookmarkEnd w:id="44"/>
      <w:r>
        <w:rPr>
          <w:rFonts w:ascii="Calibri" w:hAnsi="Calibri" w:cs="Calibri"/>
        </w:rPr>
        <w:lastRenderedPageBreak/>
        <w:t>Статья 29</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орган</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45" w:name="Par249"/>
      <w:bookmarkEnd w:id="45"/>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ascii="Calibri" w:hAnsi="Calibri" w:cs="Calibri"/>
            <w:color w:val="0000FF"/>
          </w:rPr>
          <w:t>пунктом 1</w:t>
        </w:r>
      </w:hyperlink>
      <w:r>
        <w:rPr>
          <w:rFonts w:ascii="Calibri" w:hAnsi="Calibri" w:cs="Calibri"/>
        </w:rPr>
        <w:t xml:space="preserve"> настоящей статьи.</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46" w:name="Par252"/>
      <w:bookmarkEnd w:id="46"/>
      <w:r>
        <w:rPr>
          <w:rFonts w:ascii="Calibri" w:hAnsi="Calibri" w:cs="Calibri"/>
        </w:rPr>
        <w:t>Статья 30</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Непосредственные сношения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47" w:name="Par256"/>
      <w:bookmarkEnd w:id="47"/>
      <w:r>
        <w:rPr>
          <w:rFonts w:ascii="Calibri" w:hAnsi="Calibri" w:cs="Calibri"/>
        </w:rPr>
        <w:t>1. Центральные органы осуществляют непосредственные сношения друг с другом.</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48" w:name="Par257"/>
      <w:bookmarkEnd w:id="48"/>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Запросы или сообщения в соответствии с </w:t>
      </w:r>
      <w:hyperlink w:anchor="Par256"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Запросы или сообщения, представляемые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49" w:name="Par263"/>
      <w:bookmarkEnd w:id="49"/>
      <w:r>
        <w:rPr>
          <w:rFonts w:ascii="Calibri" w:hAnsi="Calibri" w:cs="Calibri"/>
        </w:rPr>
        <w:t>Статья 31</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0"/>
        <w:rPr>
          <w:rFonts w:ascii="Calibri" w:hAnsi="Calibri" w:cs="Calibri"/>
        </w:rPr>
      </w:pPr>
      <w:bookmarkStart w:id="50" w:name="Par269"/>
      <w:bookmarkEnd w:id="50"/>
      <w:r>
        <w:rPr>
          <w:rFonts w:ascii="Calibri" w:hAnsi="Calibri" w:cs="Calibri"/>
        </w:rPr>
        <w:t>Глава V</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51" w:name="Par273"/>
      <w:bookmarkEnd w:id="51"/>
      <w:r>
        <w:rPr>
          <w:rFonts w:ascii="Calibri" w:hAnsi="Calibri" w:cs="Calibri"/>
        </w:rPr>
        <w:t>Статья 32</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вступление в силу</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52" w:name="Par277"/>
      <w:bookmarkEnd w:id="52"/>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подписания без оговорки относительно ратификации, принятия или одобрения; или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ратификации, принятия или одобрения после подписания при условии ратификации, принятия или одобрения.</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53" w:name="Par284"/>
      <w:bookmarkEnd w:id="53"/>
      <w:r>
        <w:rPr>
          <w:rFonts w:ascii="Calibri" w:hAnsi="Calibri" w:cs="Calibri"/>
        </w:rPr>
        <w:t>Статья 33</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rFonts w:ascii="Calibri" w:hAnsi="Calibri" w:cs="Calibri"/>
            <w:color w:val="0000FF"/>
          </w:rPr>
          <w:t>пункте d)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ar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55" w:name="Par291"/>
      <w:bookmarkEnd w:id="55"/>
      <w:r>
        <w:rPr>
          <w:rFonts w:ascii="Calibri" w:hAnsi="Calibri" w:cs="Calibri"/>
        </w:rPr>
        <w:t>Статья 34</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w:t>
      </w:r>
      <w:r>
        <w:rPr>
          <w:rFonts w:ascii="Calibri" w:hAnsi="Calibri" w:cs="Calibri"/>
        </w:rPr>
        <w:lastRenderedPageBreak/>
        <w:t>периода с даты получения Генеральным секретарем такого заявления.</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56" w:name="Par299"/>
      <w:bookmarkEnd w:id="56"/>
      <w:r>
        <w:rPr>
          <w:rFonts w:ascii="Calibri" w:hAnsi="Calibri" w:cs="Calibri"/>
        </w:rPr>
        <w:t>Статья 35</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другими конвенциями и соглашениями</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57" w:name="Par307"/>
      <w:bookmarkEnd w:id="57"/>
      <w:r>
        <w:rPr>
          <w:rFonts w:ascii="Calibri" w:hAnsi="Calibri" w:cs="Calibri"/>
        </w:rPr>
        <w:t>Статья 36</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ar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ar98" w:history="1">
        <w:r>
          <w:rPr>
            <w:rFonts w:ascii="Calibri" w:hAnsi="Calibri" w:cs="Calibri"/>
            <w:color w:val="0000FF"/>
          </w:rPr>
          <w:t>статьей 11</w:t>
        </w:r>
      </w:hyperlink>
      <w:r>
        <w:rPr>
          <w:rFonts w:ascii="Calibri" w:hAnsi="Calibri" w:cs="Calibri"/>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58" w:name="Par313"/>
      <w:bookmarkEnd w:id="58"/>
      <w:r>
        <w:rPr>
          <w:rFonts w:ascii="Calibri" w:hAnsi="Calibri" w:cs="Calibri"/>
        </w:rPr>
        <w:t>Статья 37</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59" w:name="Par317"/>
      <w:bookmarkEnd w:id="59"/>
      <w:r>
        <w:rPr>
          <w:rFonts w:ascii="Calibri" w:hAnsi="Calibri" w:cs="Calibri"/>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ascii="Calibri" w:hAnsi="Calibri" w:cs="Calibri"/>
            <w:color w:val="0000FF"/>
          </w:rPr>
          <w:t>статьях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 </w:t>
      </w:r>
      <w:hyperlink w:anchor="Par80" w:history="1">
        <w:r>
          <w:rPr>
            <w:rFonts w:ascii="Calibri" w:hAnsi="Calibri" w:cs="Calibri"/>
            <w:color w:val="0000FF"/>
          </w:rPr>
          <w:t>8</w:t>
        </w:r>
      </w:hyperlink>
      <w:r>
        <w:rPr>
          <w:rFonts w:ascii="Calibri" w:hAnsi="Calibri" w:cs="Calibri"/>
        </w:rPr>
        <w:t xml:space="preserve">, </w:t>
      </w:r>
      <w:hyperlink w:anchor="Par92" w:history="1">
        <w:r>
          <w:rPr>
            <w:rFonts w:ascii="Calibri" w:hAnsi="Calibri" w:cs="Calibri"/>
            <w:color w:val="0000FF"/>
          </w:rPr>
          <w:t>10</w:t>
        </w:r>
      </w:hyperlink>
      <w:r>
        <w:rPr>
          <w:rFonts w:ascii="Calibri" w:hAnsi="Calibri" w:cs="Calibri"/>
        </w:rPr>
        <w:t xml:space="preserve"> и </w:t>
      </w:r>
      <w:hyperlink w:anchor="Par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ar62" w:history="1">
        <w:r>
          <w:rPr>
            <w:rFonts w:ascii="Calibri" w:hAnsi="Calibri" w:cs="Calibri"/>
            <w:color w:val="0000FF"/>
          </w:rPr>
          <w:t>статье 5</w:t>
        </w:r>
      </w:hyperlink>
      <w:r>
        <w:rPr>
          <w:rFonts w:ascii="Calibri" w:hAnsi="Calibri" w:cs="Calibri"/>
        </w:rPr>
        <w:t>.</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60" w:name="Par318"/>
      <w:bookmarkEnd w:id="60"/>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ascii="Calibri" w:hAnsi="Calibri" w:cs="Calibri"/>
            <w:color w:val="0000FF"/>
          </w:rPr>
          <w:t>пунктом 2 статьи 17</w:t>
        </w:r>
      </w:hyperlink>
      <w:r>
        <w:rPr>
          <w:rFonts w:ascii="Calibri" w:hAnsi="Calibri" w:cs="Calibri"/>
        </w:rPr>
        <w:t>.</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61" w:name="Par319"/>
      <w:bookmarkEnd w:id="61"/>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смыслу применения </w:t>
      </w:r>
      <w:hyperlink w:anchor="Par317" w:history="1">
        <w:r>
          <w:rPr>
            <w:rFonts w:ascii="Calibri" w:hAnsi="Calibri" w:cs="Calibri"/>
            <w:color w:val="0000FF"/>
          </w:rPr>
          <w:t>пунктов 1</w:t>
        </w:r>
      </w:hyperlink>
      <w:r>
        <w:rPr>
          <w:rFonts w:ascii="Calibri" w:hAnsi="Calibri" w:cs="Calibri"/>
        </w:rPr>
        <w:t xml:space="preserve">, </w:t>
      </w:r>
      <w:hyperlink w:anchor="Par318" w:history="1">
        <w:r>
          <w:rPr>
            <w:rFonts w:ascii="Calibri" w:hAnsi="Calibri" w:cs="Calibri"/>
            <w:color w:val="0000FF"/>
          </w:rPr>
          <w:t>2</w:t>
        </w:r>
      </w:hyperlink>
      <w:r>
        <w:rPr>
          <w:rFonts w:ascii="Calibri" w:hAnsi="Calibri" w:cs="Calibri"/>
        </w:rPr>
        <w:t xml:space="preserve"> и </w:t>
      </w:r>
      <w:hyperlink w:anchor="Par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Pr>
            <w:rFonts w:ascii="Calibri" w:hAnsi="Calibri" w:cs="Calibri"/>
            <w:color w:val="0000FF"/>
          </w:rPr>
          <w:t>статьям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и </w:t>
      </w:r>
      <w:hyperlink w:anchor="Par92" w:history="1">
        <w:r>
          <w:rPr>
            <w:rFonts w:ascii="Calibri" w:hAnsi="Calibri" w:cs="Calibri"/>
            <w:color w:val="0000FF"/>
          </w:rPr>
          <w:t>10</w:t>
        </w:r>
      </w:hyperlink>
      <w:r>
        <w:rPr>
          <w:rFonts w:ascii="Calibri" w:hAnsi="Calibri" w:cs="Calibri"/>
        </w:rPr>
        <w:t xml:space="preserve"> считаются одной </w:t>
      </w:r>
      <w:r>
        <w:rPr>
          <w:rFonts w:ascii="Calibri" w:hAnsi="Calibri" w:cs="Calibri"/>
        </w:rPr>
        <w:lastRenderedPageBreak/>
        <w:t>оговоркой.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62" w:name="Par322"/>
      <w:bookmarkEnd w:id="62"/>
      <w:r>
        <w:rPr>
          <w:rFonts w:ascii="Calibri" w:hAnsi="Calibri" w:cs="Calibri"/>
        </w:rPr>
        <w:t>Статья 38</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и пересмотр заявлений и оговорок</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упомянутые в </w:t>
      </w:r>
      <w:hyperlink w:anchor="Par307" w:history="1">
        <w:r>
          <w:rPr>
            <w:rFonts w:ascii="Calibri" w:hAnsi="Calibri" w:cs="Calibri"/>
            <w:color w:val="0000FF"/>
          </w:rPr>
          <w:t>статье 36</w:t>
        </w:r>
      </w:hyperlink>
      <w:r>
        <w:rPr>
          <w:rFonts w:ascii="Calibri" w:hAnsi="Calibri" w:cs="Calibri"/>
        </w:rPr>
        <w:t xml:space="preserve">, и оговорки, упомянутые в </w:t>
      </w:r>
      <w:hyperlink w:anchor="Par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Договаривающаяся Сторона делает заявление или оговорку согласно </w:t>
      </w:r>
      <w:hyperlink w:anchor="Par307" w:history="1">
        <w:r>
          <w:rPr>
            <w:rFonts w:ascii="Calibri" w:hAnsi="Calibri" w:cs="Calibri"/>
            <w:color w:val="0000FF"/>
          </w:rPr>
          <w:t>статьям 36</w:t>
        </w:r>
      </w:hyperlink>
      <w:r>
        <w:rPr>
          <w:rFonts w:ascii="Calibri" w:hAnsi="Calibri" w:cs="Calibri"/>
        </w:rPr>
        <w:t xml:space="preserve"> и </w:t>
      </w:r>
      <w:hyperlink w:anchor="Par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63" w:name="Par330"/>
      <w:bookmarkEnd w:id="63"/>
      <w:r>
        <w:rPr>
          <w:rFonts w:ascii="Calibri" w:hAnsi="Calibri" w:cs="Calibri"/>
        </w:rPr>
        <w:t>Статья 39</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ascii="Calibri" w:hAnsi="Calibri" w:cs="Calibri"/>
            <w:color w:val="0000FF"/>
          </w:rPr>
          <w:t>статьи 33</w:t>
        </w:r>
      </w:hyperlink>
      <w:r>
        <w:rPr>
          <w:rFonts w:ascii="Calibri" w:hAnsi="Calibri" w:cs="Calibri"/>
        </w:rPr>
        <w:t>.</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702F03" w:rsidRDefault="00702F03">
      <w:pPr>
        <w:widowControl w:val="0"/>
        <w:autoSpaceDE w:val="0"/>
        <w:autoSpaceDN w:val="0"/>
        <w:adjustRightInd w:val="0"/>
        <w:spacing w:after="0" w:line="240" w:lineRule="auto"/>
        <w:ind w:firstLine="540"/>
        <w:jc w:val="both"/>
        <w:rPr>
          <w:rFonts w:ascii="Calibri" w:hAnsi="Calibri" w:cs="Calibri"/>
        </w:rPr>
      </w:pPr>
      <w:bookmarkStart w:id="64" w:name="Par336"/>
      <w:bookmarkEnd w:id="64"/>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любой поправки, принятый Комитетом министров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65" w:name="Par340"/>
      <w:bookmarkEnd w:id="65"/>
      <w:r>
        <w:rPr>
          <w:rFonts w:ascii="Calibri" w:hAnsi="Calibri" w:cs="Calibri"/>
        </w:rPr>
        <w:t>Статья 40</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w:t>
      </w:r>
      <w:r>
        <w:rPr>
          <w:rFonts w:ascii="Calibri" w:hAnsi="Calibri" w:cs="Calibri"/>
        </w:rPr>
        <w:lastRenderedPageBreak/>
        <w:t>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66" w:name="Par347"/>
      <w:bookmarkEnd w:id="66"/>
      <w:r>
        <w:rPr>
          <w:rFonts w:ascii="Calibri" w:hAnsi="Calibri" w:cs="Calibri"/>
        </w:rPr>
        <w:t>Статья 41</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jc w:val="center"/>
        <w:outlineLvl w:val="1"/>
        <w:rPr>
          <w:rFonts w:ascii="Calibri" w:hAnsi="Calibri" w:cs="Calibri"/>
        </w:rPr>
      </w:pPr>
      <w:bookmarkStart w:id="67" w:name="Par354"/>
      <w:bookmarkEnd w:id="67"/>
      <w:r>
        <w:rPr>
          <w:rFonts w:ascii="Calibri" w:hAnsi="Calibri" w:cs="Calibri"/>
        </w:rPr>
        <w:t>Статья 42</w:t>
      </w:r>
    </w:p>
    <w:p w:rsidR="00702F03" w:rsidRDefault="00702F03">
      <w:pPr>
        <w:widowControl w:val="0"/>
        <w:autoSpaceDE w:val="0"/>
        <w:autoSpaceDN w:val="0"/>
        <w:adjustRightInd w:val="0"/>
        <w:spacing w:after="0" w:line="240" w:lineRule="auto"/>
        <w:jc w:val="center"/>
        <w:rPr>
          <w:rFonts w:ascii="Calibri" w:hAnsi="Calibri" w:cs="Calibri"/>
        </w:rPr>
      </w:pPr>
    </w:p>
    <w:p w:rsidR="00702F03" w:rsidRDefault="00702F03">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любом подписании;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любой ратификационной грамоты, документа о принятии, одобрении или присоединении;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любой дате вступления в силу настоящей Конвенции в соответствии со </w:t>
      </w:r>
      <w:hyperlink w:anchor="Par273" w:history="1">
        <w:r>
          <w:rPr>
            <w:rFonts w:ascii="Calibri" w:hAnsi="Calibri" w:cs="Calibri"/>
            <w:color w:val="0000FF"/>
          </w:rPr>
          <w:t>статьями 32</w:t>
        </w:r>
      </w:hyperlink>
      <w:r>
        <w:rPr>
          <w:rFonts w:ascii="Calibri" w:hAnsi="Calibri" w:cs="Calibri"/>
        </w:rPr>
        <w:t xml:space="preserve"> и </w:t>
      </w:r>
      <w:hyperlink w:anchor="Par284" w:history="1">
        <w:r>
          <w:rPr>
            <w:rFonts w:ascii="Calibri" w:hAnsi="Calibri" w:cs="Calibri"/>
            <w:color w:val="0000FF"/>
          </w:rPr>
          <w:t>33</w:t>
        </w:r>
      </w:hyperlink>
      <w:r>
        <w:rPr>
          <w:rFonts w:ascii="Calibri" w:hAnsi="Calibri" w:cs="Calibri"/>
        </w:rPr>
        <w:t>;</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любом заявлении или оговорке, сделанными в соответствии со </w:t>
      </w:r>
      <w:hyperlink w:anchor="Par307" w:history="1">
        <w:r>
          <w:rPr>
            <w:rFonts w:ascii="Calibri" w:hAnsi="Calibri" w:cs="Calibri"/>
            <w:color w:val="0000FF"/>
          </w:rPr>
          <w:t>статьей 36</w:t>
        </w:r>
      </w:hyperlink>
      <w:r>
        <w:rPr>
          <w:rFonts w:ascii="Calibri" w:hAnsi="Calibri" w:cs="Calibri"/>
        </w:rPr>
        <w:t xml:space="preserve"> или </w:t>
      </w:r>
      <w:hyperlink w:anchor="Par313" w:history="1">
        <w:r>
          <w:rPr>
            <w:rFonts w:ascii="Calibri" w:hAnsi="Calibri" w:cs="Calibri"/>
            <w:color w:val="0000FF"/>
          </w:rPr>
          <w:t>37</w:t>
        </w:r>
      </w:hyperlink>
      <w:r>
        <w:rPr>
          <w:rFonts w:ascii="Calibri" w:hAnsi="Calibri" w:cs="Calibri"/>
        </w:rPr>
        <w:t>;</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любом ином действии, уведомлении или сообщении, относящемся к настоящей Конвенции.</w:t>
      </w: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autoSpaceDE w:val="0"/>
        <w:autoSpaceDN w:val="0"/>
        <w:adjustRightInd w:val="0"/>
        <w:spacing w:after="0" w:line="240" w:lineRule="auto"/>
        <w:ind w:firstLine="540"/>
        <w:jc w:val="both"/>
        <w:rPr>
          <w:rFonts w:ascii="Calibri" w:hAnsi="Calibri" w:cs="Calibri"/>
        </w:rPr>
      </w:pPr>
    </w:p>
    <w:p w:rsidR="00702F03" w:rsidRDefault="00702F0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FF1" w:rsidRDefault="001B0FF1">
      <w:bookmarkStart w:id="68" w:name="_GoBack"/>
      <w:bookmarkEnd w:id="68"/>
    </w:p>
    <w:sectPr w:rsidR="001B0FF1" w:rsidSect="00B44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03"/>
    <w:rsid w:val="001B0FF1"/>
    <w:rsid w:val="00231326"/>
    <w:rsid w:val="00347C39"/>
    <w:rsid w:val="006001CE"/>
    <w:rsid w:val="00644A0E"/>
    <w:rsid w:val="00702F03"/>
    <w:rsid w:val="00CD173A"/>
    <w:rsid w:val="00D520FC"/>
    <w:rsid w:val="00E46778"/>
    <w:rsid w:val="00F2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CD7147D9BFE7DA21B2A674D4D0343872D81BACE29356DA88AD1AE9934B6180AF649437A5280AA9J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CD7147D9BFE7DA21B2A674D4D0343872D81AAAE19356DA88AD1AE9934B6180AF649437A52806A9J0F" TargetMode="External"/><Relationship Id="rId5" Type="http://schemas.openxmlformats.org/officeDocument/2006/relationships/hyperlink" Target="consultantplus://offline/ref=51CD7147D9BFE7DA21B2A674D4D0343872D81AAAE19356DA88AD1AE9934B6180AF649437A52801A9J4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6296</Words>
  <Characters>35890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38.</dc:creator>
  <cp:lastModifiedBy>Минюст 38.</cp:lastModifiedBy>
  <cp:revision>1</cp:revision>
  <dcterms:created xsi:type="dcterms:W3CDTF">2014-03-14T05:08:00Z</dcterms:created>
  <dcterms:modified xsi:type="dcterms:W3CDTF">2014-03-14T05:09:00Z</dcterms:modified>
</cp:coreProperties>
</file>