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B3" w:rsidRPr="003A5C5F" w:rsidRDefault="000F17B3" w:rsidP="000F17B3">
      <w:pPr>
        <w:pStyle w:val="11"/>
        <w:overflowPunct w:val="0"/>
        <w:autoSpaceDE w:val="0"/>
        <w:autoSpaceDN w:val="0"/>
        <w:adjustRightInd w:val="0"/>
        <w:spacing w:line="240" w:lineRule="auto"/>
        <w:ind w:left="5103" w:firstLine="0"/>
        <w:textAlignment w:val="baseline"/>
        <w:rPr>
          <w:sz w:val="24"/>
          <w:szCs w:val="24"/>
        </w:rPr>
      </w:pPr>
      <w:r w:rsidRPr="003A5C5F">
        <w:rPr>
          <w:sz w:val="24"/>
          <w:szCs w:val="24"/>
        </w:rPr>
        <w:t>Приложение № 1</w:t>
      </w:r>
    </w:p>
    <w:p w:rsidR="000F17B3" w:rsidRPr="003A5C5F" w:rsidRDefault="000F17B3" w:rsidP="000F17B3">
      <w:pPr>
        <w:pStyle w:val="FR1"/>
        <w:ind w:left="5103"/>
        <w:rPr>
          <w:rFonts w:ascii="Times New Roman" w:hAnsi="Times New Roman" w:cs="Times New Roman"/>
          <w:sz w:val="24"/>
          <w:szCs w:val="24"/>
        </w:rPr>
      </w:pPr>
      <w:r w:rsidRPr="003A5C5F">
        <w:rPr>
          <w:rFonts w:ascii="Times New Roman" w:hAnsi="Times New Roman" w:cs="Times New Roman"/>
          <w:sz w:val="24"/>
          <w:szCs w:val="24"/>
        </w:rPr>
        <w:t xml:space="preserve">к Порядку и условиям проведения аукциона </w:t>
      </w:r>
      <w:r w:rsidR="00F6508D" w:rsidRPr="00722201">
        <w:rPr>
          <w:rFonts w:ascii="Times New Roman" w:hAnsi="Times New Roman" w:cs="Times New Roman"/>
          <w:sz w:val="24"/>
          <w:szCs w:val="24"/>
        </w:rPr>
        <w:t>на право пользования Слободским месторождением карбонатных пород, расположенным у южной окраины г. Козловка, между д.</w:t>
      </w:r>
      <w:r w:rsidR="00F6508D">
        <w:rPr>
          <w:rFonts w:ascii="Times New Roman" w:hAnsi="Times New Roman" w:cs="Times New Roman"/>
          <w:sz w:val="24"/>
          <w:szCs w:val="24"/>
        </w:rPr>
        <w:t> </w:t>
      </w:r>
      <w:r w:rsidR="00F6508D" w:rsidRPr="00722201">
        <w:rPr>
          <w:rFonts w:ascii="Times New Roman" w:hAnsi="Times New Roman" w:cs="Times New Roman"/>
          <w:sz w:val="24"/>
          <w:szCs w:val="24"/>
        </w:rPr>
        <w:t>Комаровка и д. Слободка Козловского района Чувашской Республики, с целью разведки и добычи карбонатных пород</w:t>
      </w:r>
    </w:p>
    <w:p w:rsidR="000F17B3" w:rsidRDefault="000F17B3" w:rsidP="00303052">
      <w:pPr>
        <w:pStyle w:val="a3"/>
        <w:ind w:firstLine="720"/>
        <w:jc w:val="center"/>
      </w:pPr>
    </w:p>
    <w:p w:rsidR="003A5C5F" w:rsidRPr="003A5C5F" w:rsidRDefault="003A5C5F" w:rsidP="00303052">
      <w:pPr>
        <w:pStyle w:val="a3"/>
        <w:ind w:firstLine="720"/>
        <w:jc w:val="center"/>
      </w:pPr>
    </w:p>
    <w:p w:rsidR="00303052" w:rsidRPr="003A5C5F" w:rsidRDefault="00303052" w:rsidP="000C2DE2">
      <w:pPr>
        <w:pStyle w:val="a3"/>
        <w:numPr>
          <w:ilvl w:val="0"/>
          <w:numId w:val="1"/>
        </w:numPr>
        <w:jc w:val="center"/>
      </w:pPr>
      <w:r w:rsidRPr="003A5C5F">
        <w:t>Общие сведения об участке недр</w:t>
      </w:r>
    </w:p>
    <w:p w:rsidR="000C2DE2" w:rsidRPr="003A5C5F" w:rsidRDefault="000C2DE2" w:rsidP="000C2DE2">
      <w:pPr>
        <w:pStyle w:val="a3"/>
        <w:ind w:left="720" w:firstLine="0"/>
        <w:jc w:val="center"/>
      </w:pPr>
    </w:p>
    <w:p w:rsidR="006E537D" w:rsidRPr="003A5C5F" w:rsidRDefault="00607065" w:rsidP="00617D85">
      <w:pPr>
        <w:spacing w:line="240" w:lineRule="auto"/>
        <w:ind w:left="-142" w:right="-5" w:firstLine="568"/>
      </w:pPr>
      <w:r>
        <w:t>Слободское</w:t>
      </w:r>
      <w:r w:rsidR="00F51D7A">
        <w:t xml:space="preserve"> </w:t>
      </w:r>
      <w:r w:rsidR="000C2DE2" w:rsidRPr="003A5C5F">
        <w:t xml:space="preserve">месторождение </w:t>
      </w:r>
      <w:r>
        <w:t>карбонатных пород</w:t>
      </w:r>
      <w:r w:rsidR="001C2B8E">
        <w:t xml:space="preserve"> </w:t>
      </w:r>
      <w:r w:rsidR="00474F41">
        <w:t xml:space="preserve">состоит их трех участков: </w:t>
      </w:r>
      <w:proofErr w:type="spellStart"/>
      <w:r w:rsidR="00474F41">
        <w:t>Верхнекурганский</w:t>
      </w:r>
      <w:proofErr w:type="spellEnd"/>
      <w:r w:rsidR="00474F41">
        <w:t xml:space="preserve">, Восточный, Козловский, и </w:t>
      </w:r>
      <w:r w:rsidR="000C2DE2" w:rsidRPr="003A5C5F">
        <w:t xml:space="preserve">расположено </w:t>
      </w:r>
      <w:r>
        <w:t>у южной окраины г. </w:t>
      </w:r>
      <w:proofErr w:type="spellStart"/>
      <w:r w:rsidRPr="00722201">
        <w:t>Козловка</w:t>
      </w:r>
      <w:proofErr w:type="spellEnd"/>
      <w:r w:rsidRPr="00722201">
        <w:t>, между д.</w:t>
      </w:r>
      <w:r>
        <w:t> </w:t>
      </w:r>
      <w:r w:rsidRPr="00722201">
        <w:t>Комаровка и д. Слободка Козловского района Чувашской Республики</w:t>
      </w:r>
      <w:r w:rsidR="00F51D7A">
        <w:t xml:space="preserve"> </w:t>
      </w:r>
      <w:r w:rsidR="006E537D" w:rsidRPr="003A5C5F">
        <w:t xml:space="preserve">на </w:t>
      </w:r>
      <w:r w:rsidR="00303052" w:rsidRPr="003A5C5F">
        <w:t>площад</w:t>
      </w:r>
      <w:r w:rsidR="006E537D" w:rsidRPr="003A5C5F">
        <w:t xml:space="preserve">и </w:t>
      </w:r>
      <w:r>
        <w:t>76,2</w:t>
      </w:r>
      <w:r w:rsidR="00E91862">
        <w:t> </w:t>
      </w:r>
      <w:r w:rsidR="006E537D" w:rsidRPr="003A5C5F">
        <w:t xml:space="preserve">га. </w:t>
      </w:r>
    </w:p>
    <w:p w:rsidR="00303052" w:rsidRPr="00AD2AED" w:rsidRDefault="00303052" w:rsidP="00617D85">
      <w:pPr>
        <w:spacing w:line="240" w:lineRule="auto"/>
        <w:ind w:left="-142" w:right="-5" w:firstLine="568"/>
      </w:pPr>
      <w:r w:rsidRPr="003A5C5F">
        <w:t xml:space="preserve">Аукцион </w:t>
      </w:r>
      <w:r w:rsidR="001C2B8E" w:rsidRPr="005A3560">
        <w:t xml:space="preserve">на право пользования </w:t>
      </w:r>
      <w:r w:rsidR="00607065">
        <w:t>Слободским</w:t>
      </w:r>
      <w:r w:rsidR="001C2B8E" w:rsidRPr="005A3560">
        <w:t xml:space="preserve"> месторождением </w:t>
      </w:r>
      <w:r w:rsidR="00607065">
        <w:t>карбонатных пород</w:t>
      </w:r>
      <w:r w:rsidR="001C2B8E" w:rsidRPr="003A5C5F">
        <w:t xml:space="preserve"> </w:t>
      </w:r>
      <w:r w:rsidRPr="003A5C5F">
        <w:t xml:space="preserve">объявлен в соответствии с </w:t>
      </w:r>
      <w:r w:rsidR="001270DC">
        <w:t xml:space="preserve">дополнительным </w:t>
      </w:r>
      <w:r w:rsidR="004E42C5" w:rsidRPr="003A5C5F">
        <w:t>П</w:t>
      </w:r>
      <w:r w:rsidRPr="003A5C5F">
        <w:t xml:space="preserve">еречнем объектов лицензирования по месторождениям общераспространенных полезных ископаемых и </w:t>
      </w:r>
      <w:r w:rsidRPr="003A5C5F">
        <w:rPr>
          <w:bCs/>
        </w:rPr>
        <w:t xml:space="preserve">участкам недр </w:t>
      </w:r>
      <w:r w:rsidRPr="003A5C5F">
        <w:t>местного значения на территории Чувашской Республики на 201</w:t>
      </w:r>
      <w:r w:rsidR="000C2DE2" w:rsidRPr="003A5C5F">
        <w:t>7</w:t>
      </w:r>
      <w:r w:rsidRPr="003A5C5F">
        <w:t xml:space="preserve"> год, утвержденным приказом Министерства </w:t>
      </w:r>
      <w:r w:rsidRPr="00AD2AED">
        <w:t xml:space="preserve">природных ресурсов и экологии Чувашской Республики от </w:t>
      </w:r>
      <w:r w:rsidR="000C2DE2" w:rsidRPr="00AD2AED">
        <w:t>20</w:t>
      </w:r>
      <w:r w:rsidR="00E91862" w:rsidRPr="00AD2AED">
        <w:t>.0</w:t>
      </w:r>
      <w:r w:rsidR="001C2B8E">
        <w:t>2</w:t>
      </w:r>
      <w:r w:rsidR="00E91862" w:rsidRPr="00AD2AED">
        <w:t>.</w:t>
      </w:r>
      <w:r w:rsidRPr="00AD2AED">
        <w:t>201</w:t>
      </w:r>
      <w:r w:rsidR="000C2DE2" w:rsidRPr="00AD2AED">
        <w:t>7</w:t>
      </w:r>
      <w:r w:rsidRPr="00AD2AED">
        <w:t xml:space="preserve"> № </w:t>
      </w:r>
      <w:r w:rsidR="001C2B8E">
        <w:t>183</w:t>
      </w:r>
      <w:r w:rsidRPr="00AD2AED">
        <w:t>.</w:t>
      </w:r>
    </w:p>
    <w:p w:rsidR="005E4876" w:rsidRDefault="00580BEA" w:rsidP="00617D85">
      <w:pPr>
        <w:spacing w:line="240" w:lineRule="auto"/>
        <w:ind w:left="-142" w:right="-5" w:firstLine="568"/>
        <w:rPr>
          <w:rFonts w:asciiTheme="minorHAnsi" w:hAnsiTheme="minorHAnsi"/>
        </w:rPr>
      </w:pPr>
      <w:r w:rsidRPr="00967A2A">
        <w:t xml:space="preserve">Балансовые запасы </w:t>
      </w:r>
      <w:r w:rsidR="00607065" w:rsidRPr="00967A2A">
        <w:t>Слободского</w:t>
      </w:r>
      <w:r w:rsidR="000C2DE2" w:rsidRPr="00967A2A">
        <w:t xml:space="preserve"> месторождения </w:t>
      </w:r>
      <w:r w:rsidR="00FD2B5F">
        <w:t>карбонатных пород</w:t>
      </w:r>
      <w:r w:rsidRPr="00967A2A">
        <w:t xml:space="preserve"> утверждены </w:t>
      </w:r>
      <w:r w:rsidR="004D133F" w:rsidRPr="00967A2A">
        <w:t>протокол</w:t>
      </w:r>
      <w:r w:rsidR="000C2DE2" w:rsidRPr="00967A2A">
        <w:t>ом</w:t>
      </w:r>
      <w:r w:rsidR="00705F45" w:rsidRPr="00967A2A">
        <w:t xml:space="preserve"> </w:t>
      </w:r>
      <w:r w:rsidR="00F0395A" w:rsidRPr="00967A2A">
        <w:t xml:space="preserve">ТКЗ от </w:t>
      </w:r>
      <w:r w:rsidR="00607065" w:rsidRPr="00967A2A">
        <w:t xml:space="preserve">10.12.1987 </w:t>
      </w:r>
      <w:r w:rsidR="00F0395A" w:rsidRPr="00967A2A">
        <w:t xml:space="preserve">№ </w:t>
      </w:r>
      <w:r w:rsidR="00607065" w:rsidRPr="00967A2A">
        <w:t>478</w:t>
      </w:r>
      <w:r w:rsidR="00F0395A" w:rsidRPr="00967A2A">
        <w:t xml:space="preserve"> </w:t>
      </w:r>
      <w:r w:rsidR="00370CE1" w:rsidRPr="00967A2A">
        <w:t>по категори</w:t>
      </w:r>
      <w:r w:rsidR="00F0395A" w:rsidRPr="00967A2A">
        <w:t>ям</w:t>
      </w:r>
      <w:proofErr w:type="gramStart"/>
      <w:r w:rsidR="00F0395A" w:rsidRPr="00967A2A">
        <w:t xml:space="preserve"> В</w:t>
      </w:r>
      <w:proofErr w:type="gramEnd"/>
      <w:r w:rsidR="00F0395A" w:rsidRPr="00967A2A">
        <w:t>+</w:t>
      </w:r>
      <w:r w:rsidR="00370CE1" w:rsidRPr="00967A2A">
        <w:t>С</w:t>
      </w:r>
      <w:r w:rsidR="00F0395A" w:rsidRPr="00967A2A">
        <w:rPr>
          <w:vertAlign w:val="subscript"/>
        </w:rPr>
        <w:t>1</w:t>
      </w:r>
      <w:r w:rsidR="00370CE1" w:rsidRPr="00967A2A">
        <w:rPr>
          <w:vertAlign w:val="subscript"/>
        </w:rPr>
        <w:t xml:space="preserve"> </w:t>
      </w:r>
      <w:r w:rsidR="000C2DE2" w:rsidRPr="00967A2A">
        <w:t xml:space="preserve">в объеме </w:t>
      </w:r>
      <w:r w:rsidR="00967A2A" w:rsidRPr="00967A2A">
        <w:t>3685,24</w:t>
      </w:r>
      <w:r w:rsidR="00370CE1" w:rsidRPr="00967A2A">
        <w:t xml:space="preserve"> тыс. </w:t>
      </w:r>
      <w:r w:rsidR="00F0395A" w:rsidRPr="00967A2A">
        <w:t>м</w:t>
      </w:r>
      <w:r w:rsidR="00F0395A" w:rsidRPr="00967A2A">
        <w:rPr>
          <w:vertAlign w:val="superscript"/>
        </w:rPr>
        <w:t>3</w:t>
      </w:r>
      <w:r w:rsidR="00F0395A" w:rsidRPr="00967A2A">
        <w:t xml:space="preserve"> (по категории В – </w:t>
      </w:r>
      <w:r w:rsidR="00967A2A" w:rsidRPr="00967A2A">
        <w:t>1601,96</w:t>
      </w:r>
      <w:r w:rsidR="00F0395A" w:rsidRPr="00967A2A">
        <w:t xml:space="preserve"> тыс. м</w:t>
      </w:r>
      <w:r w:rsidR="00F0395A" w:rsidRPr="00967A2A">
        <w:rPr>
          <w:vertAlign w:val="superscript"/>
        </w:rPr>
        <w:t>3</w:t>
      </w:r>
      <w:r w:rsidR="00F0395A" w:rsidRPr="00967A2A">
        <w:t>, С</w:t>
      </w:r>
      <w:r w:rsidR="00F0395A" w:rsidRPr="00967A2A">
        <w:rPr>
          <w:vertAlign w:val="subscript"/>
        </w:rPr>
        <w:t>1</w:t>
      </w:r>
      <w:r w:rsidR="00F0395A" w:rsidRPr="00967A2A">
        <w:t xml:space="preserve"> – </w:t>
      </w:r>
      <w:r w:rsidR="00967A2A" w:rsidRPr="00967A2A">
        <w:t>2083,28</w:t>
      </w:r>
      <w:r w:rsidR="00F0395A" w:rsidRPr="00967A2A">
        <w:t xml:space="preserve"> тыс. м</w:t>
      </w:r>
      <w:r w:rsidR="00F0395A" w:rsidRPr="00967A2A">
        <w:rPr>
          <w:vertAlign w:val="superscript"/>
        </w:rPr>
        <w:t>3</w:t>
      </w:r>
      <w:r w:rsidR="00F0395A" w:rsidRPr="00967A2A">
        <w:t>)</w:t>
      </w:r>
      <w:r w:rsidR="00967A2A">
        <w:t>, С</w:t>
      </w:r>
      <w:r w:rsidR="00967A2A" w:rsidRPr="00967A2A">
        <w:rPr>
          <w:vertAlign w:val="subscript"/>
        </w:rPr>
        <w:t>2</w:t>
      </w:r>
      <w:r w:rsidR="00967A2A">
        <w:t xml:space="preserve"> – 2171,46 </w:t>
      </w:r>
      <w:r w:rsidR="00967A2A" w:rsidRPr="00967A2A">
        <w:t>тыс. м</w:t>
      </w:r>
      <w:r w:rsidR="00967A2A" w:rsidRPr="00967A2A">
        <w:rPr>
          <w:vertAlign w:val="superscript"/>
        </w:rPr>
        <w:t>3</w:t>
      </w:r>
      <w:r w:rsidR="004D133F" w:rsidRPr="00967A2A">
        <w:t xml:space="preserve">. </w:t>
      </w:r>
      <w:r w:rsidR="00E52B20">
        <w:t xml:space="preserve">Полезная толща залегает ниже уровня грунтовых вод, в зоне аэрации. </w:t>
      </w:r>
      <w:proofErr w:type="gramStart"/>
      <w:r w:rsidR="00E52B20">
        <w:t xml:space="preserve">Мощность ее на </w:t>
      </w:r>
      <w:proofErr w:type="spellStart"/>
      <w:r w:rsidR="00E52B20">
        <w:t>Верхнекурганском</w:t>
      </w:r>
      <w:proofErr w:type="spellEnd"/>
      <w:r w:rsidR="00E52B20">
        <w:t xml:space="preserve"> </w:t>
      </w:r>
      <w:r w:rsidR="002C56E5">
        <w:t xml:space="preserve">участке равна 9,33 м, на Козловском – до </w:t>
      </w:r>
      <w:r w:rsidR="00FD2B5F">
        <w:t xml:space="preserve">8,85 м, в </w:t>
      </w:r>
      <w:r w:rsidR="002C56E5">
        <w:t>случае разделения ее на пачки средняя мощность карбонатных пачек составляет: верхней – 2,22 м, средней – 3,44 м и нижней – 3,92 м. На Восточном участке средняя мо</w:t>
      </w:r>
      <w:r w:rsidR="00FD2B5F">
        <w:t>щ</w:t>
      </w:r>
      <w:r w:rsidR="002C56E5">
        <w:t>ность пачек состав</w:t>
      </w:r>
      <w:r w:rsidR="00FD2B5F">
        <w:t>ляет</w:t>
      </w:r>
      <w:r w:rsidR="002C56E5">
        <w:t>: верхней – 1,65 м, средней - 4,22 м и нижней – 4,1 м. Вскрышные породы представлены суглинками и глинами.</w:t>
      </w:r>
      <w:proofErr w:type="gramEnd"/>
      <w:r w:rsidR="002C56E5">
        <w:t xml:space="preserve"> </w:t>
      </w:r>
      <w:r w:rsidR="00967A2A">
        <w:t>Карбонатные породы</w:t>
      </w:r>
      <w:r w:rsidR="00617D85" w:rsidRPr="00967A2A">
        <w:t xml:space="preserve"> </w:t>
      </w:r>
      <w:r w:rsidR="005E4876" w:rsidRPr="00967A2A">
        <w:t>могут быть использованы для производства</w:t>
      </w:r>
      <w:r w:rsidR="00617D85" w:rsidRPr="00967A2A">
        <w:t xml:space="preserve"> </w:t>
      </w:r>
      <w:r w:rsidR="00967A2A">
        <w:t>известняковой муки по ТУ 10-11-428-87</w:t>
      </w:r>
      <w:r w:rsidR="005E4876" w:rsidRPr="00967A2A">
        <w:rPr>
          <w:rFonts w:asciiTheme="minorHAnsi" w:hAnsiTheme="minorHAnsi"/>
        </w:rPr>
        <w:t>.</w:t>
      </w:r>
    </w:p>
    <w:p w:rsidR="00303052" w:rsidRDefault="00303052" w:rsidP="00617D85">
      <w:pPr>
        <w:pStyle w:val="a3"/>
        <w:ind w:left="-142" w:firstLine="568"/>
      </w:pPr>
      <w:r w:rsidRPr="00617D85">
        <w:t xml:space="preserve">Участку недр придается статус горного отвода, предварительные границы которого на дневной поверхности ограничены угловыми точками 1, 2, </w:t>
      </w:r>
      <w:r w:rsidR="001D59AF" w:rsidRPr="00617D85">
        <w:t>3,</w:t>
      </w:r>
      <w:r w:rsidR="00967A2A">
        <w:t xml:space="preserve"> -, </w:t>
      </w:r>
      <w:r w:rsidR="009968CB">
        <w:t xml:space="preserve">12, 13, </w:t>
      </w:r>
      <w:r w:rsidR="007A73DC" w:rsidRPr="00617D85">
        <w:t>1</w:t>
      </w:r>
      <w:r w:rsidR="009968CB">
        <w:t>; 1, 2, 3, 4, 5, 1; 1, 2, 3, -, 7, 8, 1,</w:t>
      </w:r>
      <w:r w:rsidRPr="00617D85">
        <w:t xml:space="preserve"> со следующими географическими координатами: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9"/>
        <w:gridCol w:w="1295"/>
        <w:gridCol w:w="1184"/>
        <w:gridCol w:w="1183"/>
        <w:gridCol w:w="1180"/>
        <w:gridCol w:w="1185"/>
        <w:gridCol w:w="1184"/>
        <w:gridCol w:w="1181"/>
      </w:tblGrid>
      <w:tr w:rsidR="00967A2A" w:rsidRPr="00F578CC" w:rsidTr="005C4759">
        <w:trPr>
          <w:jc w:val="center"/>
        </w:trPr>
        <w:tc>
          <w:tcPr>
            <w:tcW w:w="1179" w:type="dxa"/>
            <w:vMerge w:val="restart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 w:rsidRPr="00F578CC">
              <w:t xml:space="preserve">№ </w:t>
            </w:r>
            <w:proofErr w:type="gramStart"/>
            <w:r w:rsidRPr="00F578CC">
              <w:t>п</w:t>
            </w:r>
            <w:proofErr w:type="gramEnd"/>
            <w:r w:rsidRPr="00F578CC">
              <w:t>/п</w:t>
            </w:r>
          </w:p>
        </w:tc>
        <w:tc>
          <w:tcPr>
            <w:tcW w:w="1295" w:type="dxa"/>
            <w:vMerge w:val="restart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 w:rsidRPr="00F578CC">
              <w:t>Площадь,</w:t>
            </w:r>
          </w:p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 w:rsidRPr="00F578CC">
              <w:t>км</w:t>
            </w:r>
            <w:proofErr w:type="gramStart"/>
            <w:r w:rsidRPr="00F578C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7" w:type="dxa"/>
            <w:gridSpan w:val="6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 w:rsidRPr="00F578CC">
              <w:t>Географические координаты крайних точек участка недр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3547" w:type="dxa"/>
            <w:gridSpan w:val="3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proofErr w:type="spellStart"/>
            <w:r w:rsidRPr="00F578CC">
              <w:t>с.ш</w:t>
            </w:r>
            <w:proofErr w:type="spellEnd"/>
            <w:r w:rsidRPr="00F578CC">
              <w:t>.</w:t>
            </w:r>
          </w:p>
        </w:tc>
        <w:tc>
          <w:tcPr>
            <w:tcW w:w="3550" w:type="dxa"/>
            <w:gridSpan w:val="3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proofErr w:type="spellStart"/>
            <w:r w:rsidRPr="00F578CC">
              <w:t>в.д</w:t>
            </w:r>
            <w:proofErr w:type="spellEnd"/>
            <w:r w:rsidRPr="00F578CC">
              <w:t>.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 w:rsidRPr="00F578CC">
              <w:t>град.</w:t>
            </w:r>
          </w:p>
        </w:tc>
        <w:tc>
          <w:tcPr>
            <w:tcW w:w="1183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 w:rsidRPr="00F578CC">
              <w:t>мин.</w:t>
            </w:r>
          </w:p>
        </w:tc>
        <w:tc>
          <w:tcPr>
            <w:tcW w:w="1180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 w:rsidRPr="00F578CC">
              <w:t>сек.</w:t>
            </w:r>
          </w:p>
        </w:tc>
        <w:tc>
          <w:tcPr>
            <w:tcW w:w="1185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 w:rsidRPr="00F578CC">
              <w:t>град.</w:t>
            </w:r>
          </w:p>
        </w:tc>
        <w:tc>
          <w:tcPr>
            <w:tcW w:w="1184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 w:rsidRPr="00F578CC">
              <w:t>мин.</w:t>
            </w:r>
          </w:p>
        </w:tc>
        <w:tc>
          <w:tcPr>
            <w:tcW w:w="1181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 w:rsidRPr="00F578CC">
              <w:t>сек.</w:t>
            </w:r>
          </w:p>
        </w:tc>
      </w:tr>
      <w:tr w:rsidR="00967A2A" w:rsidRPr="00F578CC" w:rsidTr="005C4759">
        <w:trPr>
          <w:jc w:val="center"/>
        </w:trPr>
        <w:tc>
          <w:tcPr>
            <w:tcW w:w="9571" w:type="dxa"/>
            <w:gridSpan w:val="8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Участок недр «Восточный»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 w:rsidRPr="00F578CC">
              <w:t>1</w:t>
            </w:r>
          </w:p>
        </w:tc>
        <w:tc>
          <w:tcPr>
            <w:tcW w:w="1295" w:type="dxa"/>
            <w:vMerge w:val="restart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0,131</w:t>
            </w:r>
          </w:p>
        </w:tc>
        <w:tc>
          <w:tcPr>
            <w:tcW w:w="1184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50</w:t>
            </w:r>
          </w:p>
        </w:tc>
        <w:tc>
          <w:tcPr>
            <w:tcW w:w="1180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01,5</w:t>
            </w:r>
          </w:p>
        </w:tc>
        <w:tc>
          <w:tcPr>
            <w:tcW w:w="1185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1181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02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 w:rsidRPr="00F578CC">
              <w:t>2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0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59,8</w:t>
            </w:r>
          </w:p>
        </w:tc>
        <w:tc>
          <w:tcPr>
            <w:tcW w:w="1185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1181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07,7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 w:rsidRPr="00F578CC">
              <w:t>3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0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55,5</w:t>
            </w:r>
          </w:p>
        </w:tc>
        <w:tc>
          <w:tcPr>
            <w:tcW w:w="1185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1181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06,5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 w:rsidRPr="00F578CC">
              <w:t>4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0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54,6</w:t>
            </w:r>
          </w:p>
        </w:tc>
        <w:tc>
          <w:tcPr>
            <w:tcW w:w="1185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1181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09,3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49,8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13,8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45,4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39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43,6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27,5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41,8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33,5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39,6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27,3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43,7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16,7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42,7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12,7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03,6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58,6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00</w:t>
            </w:r>
          </w:p>
        </w:tc>
      </w:tr>
      <w:tr w:rsidR="00967A2A" w:rsidRPr="00F578CC" w:rsidTr="005C4759">
        <w:trPr>
          <w:jc w:val="center"/>
        </w:trPr>
        <w:tc>
          <w:tcPr>
            <w:tcW w:w="9571" w:type="dxa"/>
            <w:gridSpan w:val="8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Участок недр «Козловский»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295" w:type="dxa"/>
            <w:vMerge w:val="restart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0,164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45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36,2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lastRenderedPageBreak/>
              <w:t>2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38,2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26,4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34,4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02,4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42,2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53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46,6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20</w:t>
            </w:r>
          </w:p>
        </w:tc>
      </w:tr>
      <w:tr w:rsidR="00967A2A" w:rsidRPr="00F578CC" w:rsidTr="005C4759">
        <w:trPr>
          <w:jc w:val="center"/>
        </w:trPr>
        <w:tc>
          <w:tcPr>
            <w:tcW w:w="9571" w:type="dxa"/>
            <w:gridSpan w:val="8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Участок недр «</w:t>
            </w:r>
            <w:proofErr w:type="spellStart"/>
            <w:r>
              <w:t>Верхнекурганский</w:t>
            </w:r>
            <w:proofErr w:type="spellEnd"/>
            <w:r>
              <w:t>»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295" w:type="dxa"/>
            <w:vMerge w:val="restart"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  <w:r>
              <w:t>0,233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58,6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15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52,7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18,3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45,8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17,8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43,3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00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37,8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00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41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48,5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49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45</w:t>
            </w:r>
          </w:p>
        </w:tc>
      </w:tr>
      <w:tr w:rsidR="00967A2A" w:rsidRPr="00F578CC" w:rsidTr="005C4759">
        <w:trPr>
          <w:jc w:val="center"/>
        </w:trPr>
        <w:tc>
          <w:tcPr>
            <w:tcW w:w="1179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1295" w:type="dxa"/>
            <w:vMerge/>
          </w:tcPr>
          <w:p w:rsidR="00967A2A" w:rsidRPr="00F578CC" w:rsidRDefault="00967A2A" w:rsidP="00967A2A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55</w:t>
            </w:r>
          </w:p>
        </w:tc>
        <w:tc>
          <w:tcPr>
            <w:tcW w:w="1183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0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54,4</w:t>
            </w:r>
          </w:p>
        </w:tc>
        <w:tc>
          <w:tcPr>
            <w:tcW w:w="1185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48</w:t>
            </w:r>
          </w:p>
        </w:tc>
        <w:tc>
          <w:tcPr>
            <w:tcW w:w="1184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1181" w:type="dxa"/>
          </w:tcPr>
          <w:p w:rsidR="00967A2A" w:rsidRDefault="00967A2A" w:rsidP="00967A2A">
            <w:pPr>
              <w:spacing w:line="240" w:lineRule="auto"/>
              <w:ind w:left="0" w:firstLine="0"/>
              <w:jc w:val="center"/>
            </w:pPr>
            <w:r>
              <w:t>50,8</w:t>
            </w:r>
          </w:p>
        </w:tc>
      </w:tr>
    </w:tbl>
    <w:p w:rsidR="00967A2A" w:rsidRDefault="00967A2A" w:rsidP="00617D85">
      <w:pPr>
        <w:pStyle w:val="a3"/>
        <w:ind w:firstLine="426"/>
      </w:pPr>
    </w:p>
    <w:p w:rsidR="00303052" w:rsidRPr="00617D85" w:rsidRDefault="00303052" w:rsidP="00617D85">
      <w:pPr>
        <w:pStyle w:val="a3"/>
        <w:ind w:firstLine="426"/>
      </w:pPr>
      <w:r w:rsidRPr="00617D85">
        <w:t>Уточненные границы горного отвода и максимальная глубина отработки определяются техническим проектом разработки участка недр, согласование и утверждение которого необходимо провести в установленном законодательством Российской Федерации порядке.</w:t>
      </w:r>
    </w:p>
    <w:p w:rsidR="005375A3" w:rsidRPr="00617D85" w:rsidRDefault="00303052" w:rsidP="00617D85">
      <w:pPr>
        <w:pStyle w:val="a3"/>
        <w:ind w:firstLine="426"/>
      </w:pPr>
      <w:r w:rsidRPr="00617D85">
        <w:t>Отвод участка недр в окончательных границах для целей недропользования и оформление прав пользователя недр осуществляются в порядке, предусмотренном законодательством Российской Федерации и законодательством Чувашской Республики, после утверждения технического проекта разработки месторождения.</w:t>
      </w:r>
    </w:p>
    <w:p w:rsidR="001C2B8E" w:rsidRDefault="001C2B8E" w:rsidP="003C3A8D">
      <w:pPr>
        <w:pStyle w:val="a3"/>
        <w:ind w:firstLine="720"/>
      </w:pPr>
    </w:p>
    <w:p w:rsidR="00607065" w:rsidRDefault="00607065" w:rsidP="003C3A8D">
      <w:pPr>
        <w:pStyle w:val="a3"/>
        <w:ind w:firstLine="720"/>
      </w:pPr>
      <w:bookmarkStart w:id="0" w:name="_GoBack"/>
      <w:bookmarkEnd w:id="0"/>
    </w:p>
    <w:sectPr w:rsidR="00607065" w:rsidSect="00FD2B5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F5" w:rsidRDefault="007A73DC">
      <w:pPr>
        <w:spacing w:line="240" w:lineRule="auto"/>
      </w:pPr>
      <w:r>
        <w:separator/>
      </w:r>
    </w:p>
  </w:endnote>
  <w:endnote w:type="continuationSeparator" w:id="0">
    <w:p w:rsidR="008D32F5" w:rsidRDefault="007A7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F5" w:rsidRDefault="007A73DC">
      <w:pPr>
        <w:spacing w:line="240" w:lineRule="auto"/>
      </w:pPr>
      <w:r>
        <w:separator/>
      </w:r>
    </w:p>
  </w:footnote>
  <w:footnote w:type="continuationSeparator" w:id="0">
    <w:p w:rsidR="008D32F5" w:rsidRDefault="007A7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C0" w:rsidRDefault="006E53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D2B5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651B"/>
    <w:multiLevelType w:val="hybridMultilevel"/>
    <w:tmpl w:val="3C862A9C"/>
    <w:lvl w:ilvl="0" w:tplc="E9BED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F1"/>
    <w:rsid w:val="00087E70"/>
    <w:rsid w:val="000C2DE2"/>
    <w:rsid w:val="000F17B3"/>
    <w:rsid w:val="001270DC"/>
    <w:rsid w:val="001B0AD9"/>
    <w:rsid w:val="001B4B88"/>
    <w:rsid w:val="001C2B8E"/>
    <w:rsid w:val="001D59AF"/>
    <w:rsid w:val="0027117F"/>
    <w:rsid w:val="002A6794"/>
    <w:rsid w:val="002C56E5"/>
    <w:rsid w:val="00303052"/>
    <w:rsid w:val="00315ECF"/>
    <w:rsid w:val="00370CE1"/>
    <w:rsid w:val="003A5C5F"/>
    <w:rsid w:val="003C3A8D"/>
    <w:rsid w:val="00474F41"/>
    <w:rsid w:val="004D133F"/>
    <w:rsid w:val="004E42C5"/>
    <w:rsid w:val="00512F50"/>
    <w:rsid w:val="005375A3"/>
    <w:rsid w:val="00580BEA"/>
    <w:rsid w:val="005E4876"/>
    <w:rsid w:val="00607065"/>
    <w:rsid w:val="00617D85"/>
    <w:rsid w:val="006D6D57"/>
    <w:rsid w:val="006E537D"/>
    <w:rsid w:val="00705F45"/>
    <w:rsid w:val="007A73DC"/>
    <w:rsid w:val="007B7E4E"/>
    <w:rsid w:val="008D32F5"/>
    <w:rsid w:val="00946841"/>
    <w:rsid w:val="00967A2A"/>
    <w:rsid w:val="009968CB"/>
    <w:rsid w:val="00A137CB"/>
    <w:rsid w:val="00AC621D"/>
    <w:rsid w:val="00AD2AED"/>
    <w:rsid w:val="00B13F0F"/>
    <w:rsid w:val="00B435F1"/>
    <w:rsid w:val="00C45326"/>
    <w:rsid w:val="00E52B20"/>
    <w:rsid w:val="00E8462F"/>
    <w:rsid w:val="00E91862"/>
    <w:rsid w:val="00F0395A"/>
    <w:rsid w:val="00F51D7A"/>
    <w:rsid w:val="00F6508D"/>
    <w:rsid w:val="00FA15F9"/>
    <w:rsid w:val="00F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2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D133F"/>
    <w:pPr>
      <w:keepNext/>
      <w:widowControl/>
      <w:spacing w:line="240" w:lineRule="auto"/>
      <w:ind w:left="0" w:firstLine="0"/>
      <w:jc w:val="left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3052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03052"/>
    <w:pPr>
      <w:widowControl w:val="0"/>
      <w:spacing w:after="0" w:line="3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0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0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semiHidden/>
    <w:unhideWhenUsed/>
    <w:rsid w:val="00303052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8">
    <w:name w:val="Основной текст Знак"/>
    <w:basedOn w:val="a0"/>
    <w:link w:val="a7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303052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030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0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53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133F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1">
    <w:name w:val="FR1"/>
    <w:rsid w:val="000F17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2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D133F"/>
    <w:pPr>
      <w:keepNext/>
      <w:widowControl/>
      <w:spacing w:line="240" w:lineRule="auto"/>
      <w:ind w:left="0" w:firstLine="0"/>
      <w:jc w:val="left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3052"/>
    <w:pPr>
      <w:spacing w:line="240" w:lineRule="auto"/>
      <w:ind w:left="0" w:firstLine="851"/>
    </w:pPr>
  </w:style>
  <w:style w:type="character" w:customStyle="1" w:styleId="a4">
    <w:name w:val="Основной текст с отступом Знак"/>
    <w:basedOn w:val="a0"/>
    <w:link w:val="a3"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03052"/>
    <w:pPr>
      <w:widowControl w:val="0"/>
      <w:spacing w:after="0" w:line="3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0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0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semiHidden/>
    <w:unhideWhenUsed/>
    <w:rsid w:val="00303052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8">
    <w:name w:val="Основной текст Знак"/>
    <w:basedOn w:val="a0"/>
    <w:link w:val="a7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303052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3030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0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53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D133F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1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1">
    <w:name w:val="FR1"/>
    <w:rsid w:val="000F17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52. Иванова СВ</cp:lastModifiedBy>
  <cp:revision>24</cp:revision>
  <cp:lastPrinted>2017-03-30T14:12:00Z</cp:lastPrinted>
  <dcterms:created xsi:type="dcterms:W3CDTF">2016-01-16T11:29:00Z</dcterms:created>
  <dcterms:modified xsi:type="dcterms:W3CDTF">2017-11-09T07:56:00Z</dcterms:modified>
</cp:coreProperties>
</file>