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EC" w:rsidRPr="005241FE" w:rsidRDefault="000974EC" w:rsidP="000974EC">
      <w:pPr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41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КОНТРОЛЬНО – СЧЕТНЫЙ ОРГАН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ЯНТИКОВ</w:t>
      </w:r>
      <w:r w:rsidRPr="005241FE">
        <w:rPr>
          <w:rFonts w:ascii="Times New Roman" w:hAnsi="Times New Roman"/>
          <w:b/>
          <w:bCs/>
          <w:sz w:val="24"/>
          <w:szCs w:val="24"/>
          <w:lang w:eastAsia="ru-RU"/>
        </w:rPr>
        <w:t>СКОГО РАЙОНА ЧУВАШСКОЙ РЕСПУБЛИКИ</w:t>
      </w: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41FE">
        <w:rPr>
          <w:rFonts w:ascii="Times New Roman" w:hAnsi="Times New Roman"/>
          <w:b/>
          <w:bCs/>
          <w:sz w:val="24"/>
          <w:szCs w:val="24"/>
          <w:lang w:eastAsia="ru-RU"/>
        </w:rPr>
        <w:t>СТАНДАРТ ВНЕШНЕГО МУНИЦИПАЛЬНОГО</w:t>
      </w: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41FE">
        <w:rPr>
          <w:rFonts w:ascii="Times New Roman" w:hAnsi="Times New Roman"/>
          <w:b/>
          <w:bCs/>
          <w:sz w:val="24"/>
          <w:szCs w:val="24"/>
          <w:lang w:eastAsia="ru-RU"/>
        </w:rPr>
        <w:t>ФИНАНСОВОГО КОНТРОЛЯ</w:t>
      </w: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41FE">
        <w:rPr>
          <w:rFonts w:ascii="Times New Roman" w:hAnsi="Times New Roman"/>
          <w:b/>
          <w:bCs/>
          <w:sz w:val="24"/>
          <w:szCs w:val="24"/>
          <w:lang w:eastAsia="ru-RU"/>
        </w:rPr>
        <w:t>«ФИНАНСОВО-ЭКОНОМИЧЕСКАЯ ЭКСПЕРТИЗА ПРОЕКТОВ МУНИЦИПАЛЬНЫХ ПРОГРАММ»</w:t>
      </w: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4"/>
      </w:tblGrid>
      <w:tr w:rsidR="000974EC" w:rsidRPr="005241FE" w:rsidTr="00202FA3">
        <w:trPr>
          <w:trHeight w:val="1348"/>
        </w:trPr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4EC" w:rsidRPr="005241FE" w:rsidRDefault="000974EC" w:rsidP="00C64DC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4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приказом</w:t>
            </w:r>
            <w:r w:rsidRPr="00524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24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редседателя Контрольно-счетного органа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Янтиков</w:t>
            </w:r>
            <w:r w:rsidRPr="00524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района Чувашской Республики </w:t>
            </w:r>
            <w:r w:rsidRPr="001B43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64DC4" w:rsidRPr="00C64D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C64D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4D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июля </w:t>
            </w:r>
            <w:r w:rsidRPr="00C64D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 года № 4</w:t>
            </w:r>
          </w:p>
        </w:tc>
      </w:tr>
    </w:tbl>
    <w:p w:rsidR="000974EC" w:rsidRPr="005241FE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right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Янтиково</w:t>
      </w:r>
      <w:r w:rsidRPr="005241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974EC" w:rsidRPr="005241FE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41FE">
        <w:rPr>
          <w:rFonts w:ascii="Times New Roman" w:hAnsi="Times New Roman"/>
          <w:b/>
          <w:bCs/>
          <w:sz w:val="24"/>
          <w:szCs w:val="24"/>
          <w:lang w:eastAsia="ru-RU"/>
        </w:rPr>
        <w:t>2014 год</w:t>
      </w:r>
    </w:p>
    <w:p w:rsidR="000974EC" w:rsidRPr="00566CE9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Toc324753702"/>
      <w:bookmarkStart w:id="1" w:name="_Toc311946838"/>
      <w:bookmarkEnd w:id="0"/>
      <w:bookmarkEnd w:id="1"/>
      <w:r w:rsidRPr="00566CE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1.1. Стандарт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«Финансово-экономическая экспертиза проектов муниципальных программ» (далее – Стандарт) разработан в соответствии с Федеральным законом от 07.02.2011 №6-ФЗ «Об общих принципах организации и деятельности </w:t>
      </w:r>
      <w:bookmarkStart w:id="2" w:name="l1"/>
      <w:bookmarkEnd w:id="2"/>
      <w:r w:rsidRPr="00227DFC">
        <w:rPr>
          <w:rFonts w:ascii="Times New Roman" w:hAnsi="Times New Roman"/>
          <w:bCs/>
          <w:sz w:val="28"/>
          <w:szCs w:val="28"/>
          <w:lang w:eastAsia="ru-RU"/>
        </w:rPr>
        <w:t>контрольно-счетных органов субъектов Российской Федерации и муниципальных образований».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1.3. Стандарт определяет общие требования и принципы проведения контрольно-счетным органом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КСО)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КСО.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1.4. 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1.5. Финансово-экономическая экспертиза (далее – экспертиза) проектов муниципальных программ осуществляется КСО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1.6.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1.7. Целью финансово-экономической экспертизы является подтверждение полномочий по установлению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изменения действующего расходного обязательства для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1.8.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1.9. 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, нормам, установленным законами и иными нормативными правовыми актами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Чувашской Республики, 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соответствующей сфере.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1.10. Заключение КСО по итогам экспертизы не должно содержать политических оценок проекта муниципальной программы.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1.11. Основными задачами экспертизы проекта муниципальной программы является оценка: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полноты анализа предметной ситуации и ее факторов;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корректности определения ожидаемых результатов, целевых показателей (индикаторов) муниципальной программы;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целостности и связанности задач муниципальной программы и мероприятий по их выполнению;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обоснованности заявленных финансовых потребностей муниципальной программы.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1.12.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(проекта изменений в муниципальную программу) после устранения замечаний и рассмотрения предложений КСО.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1.13.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КСО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1.14. Основные термины и понятия: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i/>
          <w:iCs/>
          <w:sz w:val="28"/>
          <w:szCs w:val="28"/>
          <w:lang w:eastAsia="ru-RU"/>
        </w:rPr>
        <w:t>финансово-экономическая экспертиза проекта муниципальной программы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0974E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i/>
          <w:iCs/>
          <w:sz w:val="28"/>
          <w:szCs w:val="28"/>
          <w:lang w:eastAsia="ru-RU"/>
        </w:rPr>
        <w:lastRenderedPageBreak/>
        <w:t>целевые (индикативные) показатели, индикаторы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 – показатели, установленные программой, для оценки степени достижения поставленных программой целей и задач.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0974EC" w:rsidRPr="00C52761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324753703"/>
      <w:bookmarkStart w:id="4" w:name="_Toc311946841"/>
      <w:bookmarkEnd w:id="3"/>
      <w:bookmarkEnd w:id="4"/>
      <w:r w:rsidRPr="00C52761">
        <w:rPr>
          <w:rFonts w:ascii="Times New Roman" w:hAnsi="Times New Roman"/>
          <w:b/>
          <w:bCs/>
          <w:sz w:val="28"/>
          <w:szCs w:val="28"/>
          <w:lang w:eastAsia="ru-RU"/>
        </w:rPr>
        <w:t>2. Требования к проведению экспертизы проекта муниципальной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2.1. 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2.2. При необходимости должностным лицом КСО при проведении экспертизы могут быть определены вопросы, на которые участвующим в проведении экспертизы, предлагается обратить особое внимание.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 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2.4. В ходе проведения экспертизы проектов муниципальных программ подлежат рассмотрению следующие вопросы: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соответствие целей программы поставленной проблеме, соответствие планируемых задач целям программы;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- соответствие целей, задач программы Программе комплексного социально-экономического развития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четкость формулировок целей и задач, их конкретность и реальная достижимость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в установленные сроки реализации программы;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при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нимаемых программ;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наличие и обоснованность промежуточных планируемых результатов;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обоснованность объемов финансирования программных мероприятий;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- обоснованность объемов и механизма привлечения внебюджетных источников финансирования, полноты использования возможностей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четкая формулировка, простота понимания индикаторов (целевых, индикативных показателей);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наличие достоверного источника информации или методики расчета индикаторов (целевых, индикативных показателей);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наличие взаимосвязи между индикаторами (целевыми, индикативными показателями) и программными мероприятиями;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, а также: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корректности предлагаемых изменений (отсутствие изменений программы «задним числом»);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целесообразности предлагаемых изменений (потенциальная эффективность предлагаемых мер);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0974E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2.6. Срок проведения экспертизы проекта муниципальной программы составляет не более 5 рабочих дней, исчисляемых со дня, следующего за днем поступления проекта в КСО. Срок проведения экспертизы проекта об изменении муниципальной программы составляет 3 рабочих дня, исчисляемых со дня, следующего за днем поступления проекта в КСО.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0974EC" w:rsidRPr="00C52761" w:rsidRDefault="000974EC" w:rsidP="000974EC">
      <w:pPr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324753704"/>
      <w:bookmarkStart w:id="6" w:name="_Toc312083041"/>
      <w:bookmarkStart w:id="7" w:name="l59"/>
      <w:bookmarkStart w:id="8" w:name="l13"/>
      <w:bookmarkStart w:id="9" w:name="l60"/>
      <w:bookmarkStart w:id="10" w:name="l14"/>
      <w:bookmarkStart w:id="11" w:name="l58"/>
      <w:bookmarkEnd w:id="5"/>
      <w:bookmarkEnd w:id="6"/>
      <w:bookmarkEnd w:id="7"/>
      <w:bookmarkEnd w:id="8"/>
      <w:bookmarkEnd w:id="9"/>
      <w:bookmarkEnd w:id="10"/>
      <w:bookmarkEnd w:id="11"/>
      <w:r w:rsidRPr="00C52761">
        <w:rPr>
          <w:rFonts w:ascii="Times New Roman" w:hAnsi="Times New Roman"/>
          <w:b/>
          <w:bCs/>
          <w:sz w:val="28"/>
          <w:szCs w:val="28"/>
          <w:lang w:eastAsia="ru-RU"/>
        </w:rPr>
        <w:t>3. Требования к оформлению результатов экспертизы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3.1. По результатам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3.2. Заключение состоит из вводной и содержательной частей.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3.4.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- анализа предметной сферы жизнедеятельности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определения целей, выбора ожидаемых результатов;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- постановки задач, выбора принципиальных подходов решения проблемы (улучшения состояния жизнедеятельности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определение целевых, индикативных показателей (индикаторов);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распределения задач и мероприятий между соисполнителями муниципальной программы;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-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- установления финансовых потребностей муниципальной программы, в том числе с учетом выпадающих доходов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 при возникновении таковых в связи с принятием/изменением программы.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3.5.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3.6. При обнаружении в ходе проведения экспертизы коррупциогенных факторов в заключении КСО по итогам экспертизы должна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lastRenderedPageBreak/>
        <w:t>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«Об антикоррупционной экспертизе нормативных правовых актов и проектов нормативных правовых актов».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3.8. 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0974EC" w:rsidRPr="00227DFC" w:rsidRDefault="000974EC" w:rsidP="000974EC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hAnsi="Times New Roman"/>
          <w:bCs/>
          <w:sz w:val="28"/>
          <w:szCs w:val="28"/>
          <w:lang w:eastAsia="ru-RU"/>
        </w:rPr>
        <w:t>3.9. Заключение КСО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КСО, а также другими участниками экспертизы в порядке, установленном в КСО.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2767D5" w:rsidRDefault="000974EC" w:rsidP="000974EC"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3.10. Информационное письмо со сведениями о результатах проведенной финансово-экономической экспертизы может быть направлено главе </w:t>
      </w:r>
      <w:r>
        <w:rPr>
          <w:rFonts w:ascii="Times New Roman" w:hAnsi="Times New Roman"/>
          <w:bCs/>
          <w:sz w:val="28"/>
          <w:szCs w:val="28"/>
          <w:lang w:eastAsia="ru-RU"/>
        </w:rPr>
        <w:t>Янтиковского района Чувашской Республики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 xml:space="preserve">, главе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Янтиковского района Чувашской Республики </w:t>
      </w:r>
      <w:r w:rsidRPr="00227DFC">
        <w:rPr>
          <w:rFonts w:ascii="Times New Roman" w:hAnsi="Times New Roman"/>
          <w:bCs/>
          <w:sz w:val="28"/>
          <w:szCs w:val="28"/>
          <w:lang w:eastAsia="ru-RU"/>
        </w:rPr>
        <w:t>по инициативе Председателя КСО или по запросу указанных лиц.</w:t>
      </w:r>
    </w:p>
    <w:sectPr w:rsidR="002767D5" w:rsidSect="000202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70" w:rsidRDefault="00BB3970" w:rsidP="000202E0">
      <w:pPr>
        <w:spacing w:after="0" w:line="240" w:lineRule="auto"/>
      </w:pPr>
      <w:r>
        <w:separator/>
      </w:r>
    </w:p>
  </w:endnote>
  <w:endnote w:type="continuationSeparator" w:id="1">
    <w:p w:rsidR="00BB3970" w:rsidRDefault="00BB3970" w:rsidP="000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70" w:rsidRDefault="00BB3970" w:rsidP="000202E0">
      <w:pPr>
        <w:spacing w:after="0" w:line="240" w:lineRule="auto"/>
      </w:pPr>
      <w:r>
        <w:separator/>
      </w:r>
    </w:p>
  </w:footnote>
  <w:footnote w:type="continuationSeparator" w:id="1">
    <w:p w:rsidR="00BB3970" w:rsidRDefault="00BB3970" w:rsidP="0002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6701"/>
      <w:docPartObj>
        <w:docPartGallery w:val="Page Numbers (Top of Page)"/>
        <w:docPartUnique/>
      </w:docPartObj>
    </w:sdtPr>
    <w:sdtContent>
      <w:p w:rsidR="000202E0" w:rsidRDefault="000202E0">
        <w:pPr>
          <w:pStyle w:val="a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202E0" w:rsidRDefault="000202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4EC"/>
    <w:rsid w:val="000202E0"/>
    <w:rsid w:val="000974EC"/>
    <w:rsid w:val="0017068A"/>
    <w:rsid w:val="002767D5"/>
    <w:rsid w:val="00A15C61"/>
    <w:rsid w:val="00BB3970"/>
    <w:rsid w:val="00C6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EC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2E0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2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2E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2122</Words>
  <Characters>12102</Characters>
  <Application>Microsoft Office Word</Application>
  <DocSecurity>0</DocSecurity>
  <Lines>100</Lines>
  <Paragraphs>28</Paragraphs>
  <ScaleCrop>false</ScaleCrop>
  <Company>Минфин Чувашии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yantik_kso</cp:lastModifiedBy>
  <cp:revision>5</cp:revision>
  <dcterms:created xsi:type="dcterms:W3CDTF">2015-08-26T11:43:00Z</dcterms:created>
  <dcterms:modified xsi:type="dcterms:W3CDTF">2017-04-13T13:31:00Z</dcterms:modified>
</cp:coreProperties>
</file>