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E" w:rsidRPr="003F5CDA" w:rsidRDefault="00484F6E" w:rsidP="00484F6E">
      <w:pPr>
        <w:jc w:val="center"/>
      </w:pPr>
    </w:p>
    <w:p w:rsidR="00484F6E" w:rsidRPr="00D93220" w:rsidRDefault="00484F6E" w:rsidP="00484F6E">
      <w:pPr>
        <w:pStyle w:val="4"/>
        <w:ind w:firstLine="0"/>
        <w:rPr>
          <w:b/>
          <w:bCs/>
          <w:caps/>
          <w:szCs w:val="28"/>
        </w:rPr>
      </w:pPr>
      <w:r w:rsidRPr="00D93220">
        <w:rPr>
          <w:b/>
          <w:bCs/>
          <w:caps/>
          <w:szCs w:val="28"/>
        </w:rPr>
        <w:t xml:space="preserve">Контрольно-счЕтный орган </w:t>
      </w:r>
      <w:r>
        <w:rPr>
          <w:b/>
          <w:bCs/>
          <w:caps/>
          <w:szCs w:val="28"/>
        </w:rPr>
        <w:t>Янтиков</w:t>
      </w:r>
      <w:r w:rsidRPr="00D93220">
        <w:rPr>
          <w:b/>
          <w:bCs/>
          <w:caps/>
          <w:szCs w:val="28"/>
        </w:rPr>
        <w:t>ского</w:t>
      </w:r>
    </w:p>
    <w:p w:rsidR="00484F6E" w:rsidRPr="00D93220" w:rsidRDefault="00484F6E" w:rsidP="00484F6E">
      <w:pPr>
        <w:pStyle w:val="4"/>
        <w:ind w:firstLine="0"/>
        <w:rPr>
          <w:b/>
          <w:bCs/>
          <w:caps/>
          <w:szCs w:val="28"/>
        </w:rPr>
      </w:pPr>
      <w:r w:rsidRPr="00D93220">
        <w:rPr>
          <w:b/>
          <w:bCs/>
          <w:caps/>
          <w:szCs w:val="28"/>
        </w:rPr>
        <w:t>района чувашской реСпУблики</w:t>
      </w:r>
    </w:p>
    <w:p w:rsidR="00484F6E" w:rsidRPr="00D93220" w:rsidRDefault="00484F6E" w:rsidP="00484F6E">
      <w:pPr>
        <w:jc w:val="center"/>
        <w:rPr>
          <w:sz w:val="28"/>
          <w:szCs w:val="28"/>
        </w:rPr>
      </w:pPr>
    </w:p>
    <w:p w:rsidR="00484F6E" w:rsidRPr="00D93220" w:rsidRDefault="00484F6E" w:rsidP="00484F6E">
      <w:pPr>
        <w:widowControl w:val="0"/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Default="00484F6E" w:rsidP="00484F6E">
      <w:pPr>
        <w:pStyle w:val="a5"/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pStyle w:val="a5"/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b/>
          <w:sz w:val="28"/>
          <w:szCs w:val="28"/>
        </w:rPr>
      </w:pPr>
      <w:r w:rsidRPr="00D93220">
        <w:rPr>
          <w:b/>
          <w:sz w:val="28"/>
          <w:szCs w:val="28"/>
        </w:rPr>
        <w:t>СТАНДАРТ ОРГАНИЗАЦИИ ДЕЯТЕЛЬНОСТИ</w:t>
      </w: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tabs>
          <w:tab w:val="left" w:pos="567"/>
        </w:tabs>
        <w:jc w:val="center"/>
        <w:rPr>
          <w:sz w:val="28"/>
          <w:szCs w:val="28"/>
        </w:rPr>
      </w:pPr>
    </w:p>
    <w:p w:rsidR="00484F6E" w:rsidRPr="00D93220" w:rsidRDefault="00484F6E" w:rsidP="00484F6E">
      <w:pPr>
        <w:pStyle w:val="a7"/>
        <w:spacing w:after="0"/>
        <w:jc w:val="center"/>
        <w:rPr>
          <w:sz w:val="28"/>
          <w:szCs w:val="28"/>
        </w:rPr>
      </w:pPr>
    </w:p>
    <w:p w:rsidR="00484F6E" w:rsidRPr="00D93220" w:rsidRDefault="00484F6E" w:rsidP="00484F6E">
      <w:pPr>
        <w:widowControl w:val="0"/>
        <w:jc w:val="center"/>
        <w:rPr>
          <w:sz w:val="28"/>
          <w:szCs w:val="28"/>
        </w:rPr>
      </w:pPr>
      <w:r w:rsidRPr="00D93220">
        <w:rPr>
          <w:b/>
          <w:sz w:val="28"/>
          <w:szCs w:val="28"/>
        </w:rPr>
        <w:t xml:space="preserve">СОД </w:t>
      </w:r>
      <w:r w:rsidRPr="00D93220">
        <w:rPr>
          <w:sz w:val="28"/>
          <w:szCs w:val="28"/>
        </w:rPr>
        <w:t>«</w:t>
      </w:r>
      <w:r w:rsidRPr="00D93220">
        <w:rPr>
          <w:b/>
          <w:sz w:val="28"/>
          <w:szCs w:val="28"/>
        </w:rPr>
        <w:t>ПОДГОТОВК</w:t>
      </w:r>
      <w:r>
        <w:rPr>
          <w:b/>
          <w:sz w:val="28"/>
          <w:szCs w:val="28"/>
        </w:rPr>
        <w:t>А</w:t>
      </w:r>
      <w:r w:rsidRPr="00D93220">
        <w:rPr>
          <w:b/>
          <w:sz w:val="28"/>
          <w:szCs w:val="28"/>
        </w:rPr>
        <w:t xml:space="preserve"> ГОДОВОГО ОТЧЕТА О ДЕЯТЕЛЬНОСТИ КОНТРОЛЬНО-СЧЕТНОГО ОРГАНА </w:t>
      </w:r>
      <w:r>
        <w:rPr>
          <w:b/>
          <w:sz w:val="28"/>
          <w:szCs w:val="28"/>
        </w:rPr>
        <w:t>ЯНТИКОВ</w:t>
      </w:r>
      <w:r w:rsidRPr="00D93220">
        <w:rPr>
          <w:b/>
          <w:sz w:val="28"/>
          <w:szCs w:val="28"/>
        </w:rPr>
        <w:t>СКОГО РАЙОНА ЧУВАШСКОЙ РЕСПУБЛИКИ»</w:t>
      </w:r>
    </w:p>
    <w:p w:rsidR="00484F6E" w:rsidRPr="00023990" w:rsidRDefault="00484F6E" w:rsidP="00484F6E">
      <w:pPr>
        <w:widowControl w:val="0"/>
        <w:jc w:val="center"/>
        <w:rPr>
          <w:bCs/>
          <w:caps/>
          <w:sz w:val="28"/>
          <w:szCs w:val="28"/>
        </w:rPr>
      </w:pPr>
    </w:p>
    <w:p w:rsidR="00484F6E" w:rsidRPr="00D93220" w:rsidRDefault="00484F6E" w:rsidP="00484F6E">
      <w:pPr>
        <w:jc w:val="center"/>
        <w:rPr>
          <w:sz w:val="26"/>
          <w:szCs w:val="26"/>
        </w:rPr>
      </w:pPr>
      <w:r w:rsidRPr="00D93220">
        <w:rPr>
          <w:sz w:val="26"/>
          <w:szCs w:val="26"/>
        </w:rPr>
        <w:t xml:space="preserve">(утвержден приказом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D93220">
        <w:rPr>
          <w:sz w:val="26"/>
          <w:szCs w:val="26"/>
        </w:rPr>
        <w:t>ского</w:t>
      </w:r>
      <w:proofErr w:type="spellEnd"/>
      <w:r w:rsidRPr="00D93220">
        <w:rPr>
          <w:sz w:val="26"/>
          <w:szCs w:val="26"/>
        </w:rPr>
        <w:t xml:space="preserve"> района Чувашской Республики от 1</w:t>
      </w:r>
      <w:r>
        <w:rPr>
          <w:sz w:val="26"/>
          <w:szCs w:val="26"/>
        </w:rPr>
        <w:t>8 июля</w:t>
      </w:r>
      <w:r w:rsidRPr="00D93220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D93220">
        <w:rPr>
          <w:sz w:val="26"/>
          <w:szCs w:val="26"/>
        </w:rPr>
        <w:t xml:space="preserve"> г. № </w:t>
      </w:r>
      <w:r>
        <w:rPr>
          <w:sz w:val="26"/>
          <w:szCs w:val="26"/>
        </w:rPr>
        <w:t>4</w:t>
      </w:r>
      <w:r w:rsidRPr="00D93220">
        <w:rPr>
          <w:sz w:val="26"/>
          <w:szCs w:val="26"/>
        </w:rPr>
        <w:t>)</w:t>
      </w:r>
    </w:p>
    <w:p w:rsidR="00484F6E" w:rsidRPr="00023990" w:rsidRDefault="00484F6E" w:rsidP="00484F6E">
      <w:pPr>
        <w:pStyle w:val="7"/>
        <w:ind w:firstLine="567"/>
        <w:rPr>
          <w:szCs w:val="28"/>
        </w:rPr>
      </w:pPr>
    </w:p>
    <w:p w:rsidR="00484F6E" w:rsidRPr="00023990" w:rsidRDefault="00484F6E" w:rsidP="00484F6E">
      <w:pPr>
        <w:widowControl w:val="0"/>
        <w:ind w:firstLine="567"/>
        <w:jc w:val="center"/>
        <w:rPr>
          <w:sz w:val="28"/>
          <w:szCs w:val="28"/>
        </w:rPr>
      </w:pPr>
    </w:p>
    <w:p w:rsidR="00484F6E" w:rsidRPr="00023990" w:rsidRDefault="00484F6E" w:rsidP="00484F6E">
      <w:pPr>
        <w:widowControl w:val="0"/>
        <w:ind w:firstLine="567"/>
        <w:jc w:val="center"/>
        <w:rPr>
          <w:sz w:val="28"/>
          <w:szCs w:val="28"/>
        </w:rPr>
      </w:pPr>
    </w:p>
    <w:p w:rsidR="00484F6E" w:rsidRPr="00023990" w:rsidRDefault="00484F6E" w:rsidP="00484F6E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F6E" w:rsidRPr="00023990" w:rsidRDefault="00484F6E" w:rsidP="00484F6E">
      <w:pPr>
        <w:widowControl w:val="0"/>
        <w:ind w:firstLine="567"/>
        <w:jc w:val="center"/>
        <w:rPr>
          <w:sz w:val="28"/>
          <w:szCs w:val="28"/>
        </w:rPr>
      </w:pPr>
    </w:p>
    <w:p w:rsidR="00484F6E" w:rsidRPr="00023990" w:rsidRDefault="00484F6E" w:rsidP="00484F6E">
      <w:pPr>
        <w:ind w:firstLine="567"/>
        <w:jc w:val="center"/>
        <w:rPr>
          <w:sz w:val="28"/>
          <w:szCs w:val="28"/>
        </w:rPr>
      </w:pPr>
    </w:p>
    <w:p w:rsidR="00484F6E" w:rsidRPr="00023990" w:rsidRDefault="00484F6E" w:rsidP="00484F6E">
      <w:pPr>
        <w:ind w:firstLine="567"/>
        <w:jc w:val="center"/>
        <w:rPr>
          <w:sz w:val="28"/>
          <w:szCs w:val="28"/>
        </w:rPr>
      </w:pPr>
    </w:p>
    <w:p w:rsidR="00484F6E" w:rsidRPr="00023990" w:rsidRDefault="00484F6E" w:rsidP="00484F6E">
      <w:pPr>
        <w:ind w:firstLine="567"/>
        <w:jc w:val="center"/>
        <w:rPr>
          <w:sz w:val="28"/>
          <w:szCs w:val="28"/>
        </w:rPr>
      </w:pPr>
    </w:p>
    <w:p w:rsidR="00484F6E" w:rsidRPr="00023990" w:rsidRDefault="00484F6E" w:rsidP="00484F6E">
      <w:pPr>
        <w:ind w:firstLine="567"/>
        <w:jc w:val="center"/>
        <w:rPr>
          <w:sz w:val="28"/>
          <w:szCs w:val="28"/>
        </w:rPr>
      </w:pPr>
    </w:p>
    <w:p w:rsidR="00484F6E" w:rsidRPr="00023990" w:rsidRDefault="00484F6E" w:rsidP="00484F6E">
      <w:pPr>
        <w:ind w:firstLine="567"/>
        <w:jc w:val="center"/>
        <w:rPr>
          <w:sz w:val="28"/>
          <w:szCs w:val="28"/>
        </w:rPr>
      </w:pPr>
    </w:p>
    <w:p w:rsidR="00484F6E" w:rsidRPr="00D93220" w:rsidRDefault="00484F6E" w:rsidP="00484F6E">
      <w:pPr>
        <w:ind w:firstLine="567"/>
        <w:jc w:val="center"/>
        <w:rPr>
          <w:bCs/>
          <w:sz w:val="26"/>
          <w:szCs w:val="26"/>
        </w:rPr>
      </w:pPr>
    </w:p>
    <w:p w:rsidR="00484F6E" w:rsidRDefault="00484F6E" w:rsidP="00484F6E">
      <w:pPr>
        <w:ind w:firstLine="567"/>
        <w:jc w:val="center"/>
        <w:rPr>
          <w:sz w:val="26"/>
          <w:szCs w:val="26"/>
        </w:rPr>
      </w:pPr>
    </w:p>
    <w:p w:rsidR="00484F6E" w:rsidRDefault="00484F6E" w:rsidP="00484F6E">
      <w:pPr>
        <w:ind w:firstLine="567"/>
        <w:jc w:val="center"/>
        <w:rPr>
          <w:sz w:val="26"/>
          <w:szCs w:val="26"/>
        </w:rPr>
      </w:pPr>
    </w:p>
    <w:p w:rsidR="00484F6E" w:rsidRDefault="00484F6E" w:rsidP="00484F6E">
      <w:pPr>
        <w:ind w:firstLine="567"/>
        <w:jc w:val="center"/>
        <w:rPr>
          <w:sz w:val="26"/>
          <w:szCs w:val="26"/>
        </w:rPr>
      </w:pPr>
    </w:p>
    <w:p w:rsidR="00484F6E" w:rsidRDefault="00484F6E" w:rsidP="00484F6E">
      <w:pPr>
        <w:ind w:firstLine="567"/>
        <w:jc w:val="center"/>
        <w:rPr>
          <w:sz w:val="26"/>
          <w:szCs w:val="26"/>
        </w:rPr>
      </w:pPr>
    </w:p>
    <w:p w:rsidR="00484F6E" w:rsidRDefault="00484F6E" w:rsidP="00484F6E">
      <w:pPr>
        <w:ind w:firstLine="567"/>
        <w:jc w:val="center"/>
        <w:rPr>
          <w:sz w:val="26"/>
          <w:szCs w:val="26"/>
        </w:rPr>
      </w:pPr>
    </w:p>
    <w:p w:rsidR="00484F6E" w:rsidRDefault="00484F6E" w:rsidP="00484F6E">
      <w:pPr>
        <w:ind w:firstLine="567"/>
        <w:jc w:val="center"/>
        <w:rPr>
          <w:sz w:val="26"/>
          <w:szCs w:val="26"/>
        </w:rPr>
      </w:pPr>
    </w:p>
    <w:p w:rsidR="00484F6E" w:rsidRDefault="00484F6E" w:rsidP="00484F6E">
      <w:pPr>
        <w:ind w:firstLine="567"/>
        <w:jc w:val="center"/>
        <w:rPr>
          <w:sz w:val="26"/>
          <w:szCs w:val="26"/>
        </w:rPr>
      </w:pPr>
    </w:p>
    <w:p w:rsidR="00484F6E" w:rsidRPr="00D93220" w:rsidRDefault="00484F6E" w:rsidP="00484F6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Янтиково</w:t>
      </w:r>
    </w:p>
    <w:p w:rsidR="00484F6E" w:rsidRPr="00D93220" w:rsidRDefault="00484F6E" w:rsidP="00484F6E">
      <w:pPr>
        <w:ind w:firstLine="567"/>
        <w:jc w:val="center"/>
        <w:rPr>
          <w:sz w:val="26"/>
          <w:szCs w:val="26"/>
        </w:rPr>
      </w:pPr>
      <w:r w:rsidRPr="00D93220">
        <w:rPr>
          <w:sz w:val="26"/>
          <w:szCs w:val="26"/>
        </w:rPr>
        <w:t>201</w:t>
      </w:r>
      <w:r>
        <w:rPr>
          <w:sz w:val="26"/>
          <w:szCs w:val="26"/>
        </w:rPr>
        <w:t>4</w:t>
      </w:r>
    </w:p>
    <w:p w:rsidR="00484F6E" w:rsidRPr="00D93220" w:rsidRDefault="00484F6E" w:rsidP="00484F6E">
      <w:pPr>
        <w:ind w:firstLine="567"/>
        <w:jc w:val="center"/>
        <w:rPr>
          <w:sz w:val="26"/>
          <w:szCs w:val="26"/>
        </w:rPr>
      </w:pPr>
    </w:p>
    <w:p w:rsidR="00484F6E" w:rsidRPr="00D93220" w:rsidRDefault="00484F6E" w:rsidP="00484F6E">
      <w:pPr>
        <w:pStyle w:val="a7"/>
        <w:jc w:val="center"/>
        <w:rPr>
          <w:b/>
          <w:sz w:val="26"/>
          <w:szCs w:val="26"/>
        </w:rPr>
      </w:pPr>
      <w:r w:rsidRPr="00D93220">
        <w:rPr>
          <w:b/>
          <w:sz w:val="26"/>
          <w:szCs w:val="26"/>
        </w:rPr>
        <w:lastRenderedPageBreak/>
        <w:t>Содержание</w:t>
      </w:r>
    </w:p>
    <w:p w:rsidR="00484F6E" w:rsidRPr="00D93220" w:rsidRDefault="00484F6E" w:rsidP="00484F6E">
      <w:pPr>
        <w:widowControl w:val="0"/>
        <w:spacing w:line="360" w:lineRule="auto"/>
        <w:ind w:firstLine="567"/>
        <w:jc w:val="center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jc w:val="both"/>
        <w:rPr>
          <w:sz w:val="26"/>
          <w:szCs w:val="26"/>
        </w:rPr>
      </w:pPr>
      <w:r w:rsidRPr="00D93220">
        <w:rPr>
          <w:sz w:val="26"/>
          <w:szCs w:val="26"/>
        </w:rPr>
        <w:t>1. Общие положения…………………………………………………</w:t>
      </w:r>
      <w:r>
        <w:rPr>
          <w:sz w:val="26"/>
          <w:szCs w:val="26"/>
        </w:rPr>
        <w:t>…………..…</w:t>
      </w:r>
      <w:r w:rsidRPr="00D93220">
        <w:rPr>
          <w:sz w:val="26"/>
          <w:szCs w:val="26"/>
        </w:rPr>
        <w:t>....3</w:t>
      </w:r>
    </w:p>
    <w:p w:rsidR="00484F6E" w:rsidRPr="00D93220" w:rsidRDefault="00484F6E" w:rsidP="00484F6E">
      <w:pPr>
        <w:widowControl w:val="0"/>
        <w:spacing w:line="360" w:lineRule="auto"/>
        <w:jc w:val="both"/>
        <w:rPr>
          <w:sz w:val="26"/>
          <w:szCs w:val="26"/>
        </w:rPr>
      </w:pPr>
    </w:p>
    <w:p w:rsidR="00484F6E" w:rsidRPr="00B16B83" w:rsidRDefault="00484F6E" w:rsidP="00484F6E">
      <w:pPr>
        <w:widowControl w:val="0"/>
        <w:spacing w:line="360" w:lineRule="auto"/>
        <w:jc w:val="both"/>
        <w:rPr>
          <w:sz w:val="26"/>
          <w:szCs w:val="26"/>
        </w:rPr>
      </w:pPr>
      <w:r w:rsidRPr="00D93220">
        <w:rPr>
          <w:sz w:val="26"/>
          <w:szCs w:val="26"/>
        </w:rPr>
        <w:t xml:space="preserve">2. </w:t>
      </w:r>
      <w:r w:rsidRPr="00B16B83">
        <w:rPr>
          <w:sz w:val="26"/>
          <w:szCs w:val="26"/>
        </w:rPr>
        <w:t>Структура и формирование годового отчета……………….………………</w:t>
      </w:r>
      <w:r>
        <w:rPr>
          <w:sz w:val="26"/>
          <w:szCs w:val="26"/>
        </w:rPr>
        <w:t>.…</w:t>
      </w:r>
      <w:r w:rsidRPr="00B16B83">
        <w:rPr>
          <w:sz w:val="26"/>
          <w:szCs w:val="26"/>
        </w:rPr>
        <w:t>….3</w:t>
      </w:r>
    </w:p>
    <w:p w:rsidR="00484F6E" w:rsidRPr="00B16B83" w:rsidRDefault="00484F6E" w:rsidP="00484F6E">
      <w:pPr>
        <w:widowControl w:val="0"/>
        <w:spacing w:line="360" w:lineRule="auto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jc w:val="both"/>
        <w:rPr>
          <w:sz w:val="26"/>
          <w:szCs w:val="26"/>
        </w:rPr>
      </w:pPr>
      <w:r w:rsidRPr="00D93220">
        <w:rPr>
          <w:sz w:val="26"/>
          <w:szCs w:val="26"/>
        </w:rPr>
        <w:t>3. Правила формирования годового отчета………………………</w:t>
      </w:r>
      <w:r>
        <w:rPr>
          <w:sz w:val="26"/>
          <w:szCs w:val="26"/>
        </w:rPr>
        <w:t>………………</w:t>
      </w:r>
      <w:r w:rsidRPr="00D93220">
        <w:rPr>
          <w:sz w:val="26"/>
          <w:szCs w:val="26"/>
        </w:rPr>
        <w:t>…..</w:t>
      </w:r>
      <w:r>
        <w:rPr>
          <w:sz w:val="26"/>
          <w:szCs w:val="26"/>
        </w:rPr>
        <w:t>4</w:t>
      </w:r>
    </w:p>
    <w:p w:rsidR="00484F6E" w:rsidRPr="00D93220" w:rsidRDefault="00484F6E" w:rsidP="00484F6E">
      <w:pPr>
        <w:widowControl w:val="0"/>
        <w:spacing w:line="360" w:lineRule="auto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D93220" w:rsidRDefault="00484F6E" w:rsidP="00484F6E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484F6E" w:rsidRPr="00023990" w:rsidRDefault="00484F6E" w:rsidP="00484F6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84F6E" w:rsidRPr="00023990" w:rsidRDefault="00484F6E" w:rsidP="00484F6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84F6E" w:rsidRDefault="00484F6E" w:rsidP="00484F6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84F6E" w:rsidRDefault="00484F6E" w:rsidP="00484F6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84F6E" w:rsidRPr="00023990" w:rsidRDefault="00484F6E" w:rsidP="00484F6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84F6E" w:rsidRPr="00023990" w:rsidRDefault="00484F6E" w:rsidP="00484F6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84F6E" w:rsidRDefault="00484F6E" w:rsidP="00484F6E">
      <w:pPr>
        <w:widowControl w:val="0"/>
        <w:spacing w:before="120"/>
        <w:ind w:right="169"/>
        <w:jc w:val="center"/>
        <w:rPr>
          <w:b/>
          <w:sz w:val="26"/>
          <w:szCs w:val="26"/>
        </w:rPr>
      </w:pPr>
      <w:r w:rsidRPr="00424660">
        <w:rPr>
          <w:b/>
          <w:sz w:val="26"/>
          <w:szCs w:val="26"/>
        </w:rPr>
        <w:t>1. Общие положения</w:t>
      </w:r>
    </w:p>
    <w:p w:rsidR="00484F6E" w:rsidRPr="00B03C2F" w:rsidRDefault="00484F6E" w:rsidP="00484F6E">
      <w:pPr>
        <w:autoSpaceDE w:val="0"/>
        <w:autoSpaceDN w:val="0"/>
        <w:adjustRightInd w:val="0"/>
        <w:spacing w:before="120"/>
        <w:ind w:right="9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1.1 </w:t>
      </w:r>
      <w:r w:rsidRPr="00865668">
        <w:rPr>
          <w:sz w:val="26"/>
          <w:szCs w:val="26"/>
        </w:rPr>
        <w:t>Стандарт организации деятельности СОД «</w:t>
      </w:r>
      <w:r>
        <w:rPr>
          <w:sz w:val="26"/>
          <w:szCs w:val="26"/>
        </w:rPr>
        <w:t xml:space="preserve">Подготовка </w:t>
      </w:r>
      <w:r w:rsidRPr="00865668">
        <w:rPr>
          <w:sz w:val="26"/>
          <w:szCs w:val="26"/>
        </w:rPr>
        <w:t xml:space="preserve">годового отчета о деятельности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865668">
        <w:rPr>
          <w:sz w:val="26"/>
          <w:szCs w:val="26"/>
        </w:rPr>
        <w:t>ского</w:t>
      </w:r>
      <w:proofErr w:type="spellEnd"/>
      <w:r w:rsidRPr="00865668">
        <w:rPr>
          <w:sz w:val="26"/>
          <w:szCs w:val="26"/>
        </w:rPr>
        <w:t xml:space="preserve"> района Чувашской Республики» (далее – Стандарт)</w:t>
      </w:r>
      <w:r w:rsidRPr="00865668">
        <w:rPr>
          <w:bCs/>
          <w:sz w:val="26"/>
          <w:szCs w:val="26"/>
        </w:rPr>
        <w:t xml:space="preserve"> разработан с учетом положений Бюджетного </w:t>
      </w:r>
      <w:hyperlink r:id="rId4" w:history="1">
        <w:r w:rsidRPr="00865668">
          <w:rPr>
            <w:bCs/>
            <w:sz w:val="26"/>
            <w:szCs w:val="26"/>
          </w:rPr>
          <w:t>кодекса</w:t>
        </w:r>
      </w:hyperlink>
      <w:r w:rsidRPr="00865668">
        <w:rPr>
          <w:bCs/>
          <w:sz w:val="26"/>
          <w:szCs w:val="26"/>
        </w:rPr>
        <w:t xml:space="preserve">, </w:t>
      </w:r>
      <w:r w:rsidRPr="00865668">
        <w:rPr>
          <w:sz w:val="26"/>
          <w:szCs w:val="26"/>
        </w:rPr>
        <w:t xml:space="preserve">Положения о Контрольно-счетном органе </w:t>
      </w:r>
      <w:proofErr w:type="spellStart"/>
      <w:r>
        <w:rPr>
          <w:sz w:val="26"/>
          <w:szCs w:val="26"/>
        </w:rPr>
        <w:t>Янтиков</w:t>
      </w:r>
      <w:r w:rsidRPr="00865668">
        <w:rPr>
          <w:sz w:val="26"/>
          <w:szCs w:val="26"/>
        </w:rPr>
        <w:t>ского</w:t>
      </w:r>
      <w:proofErr w:type="spellEnd"/>
      <w:r w:rsidRPr="00865668">
        <w:rPr>
          <w:sz w:val="26"/>
          <w:szCs w:val="26"/>
        </w:rPr>
        <w:t xml:space="preserve"> района Чувашской Республики (утвержден решением Собрания депутатов  </w:t>
      </w:r>
      <w:proofErr w:type="spellStart"/>
      <w:r w:rsidRPr="00865668">
        <w:rPr>
          <w:sz w:val="26"/>
          <w:szCs w:val="26"/>
        </w:rPr>
        <w:t>Красночетайского</w:t>
      </w:r>
      <w:proofErr w:type="spellEnd"/>
      <w:r w:rsidRPr="00865668">
        <w:rPr>
          <w:sz w:val="26"/>
          <w:szCs w:val="26"/>
        </w:rPr>
        <w:t xml:space="preserve"> района Чувашской Республики от </w:t>
      </w:r>
      <w:r>
        <w:rPr>
          <w:sz w:val="26"/>
          <w:szCs w:val="26"/>
        </w:rPr>
        <w:t>10</w:t>
      </w:r>
      <w:r w:rsidRPr="0086566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65668">
        <w:rPr>
          <w:sz w:val="26"/>
          <w:szCs w:val="26"/>
        </w:rPr>
        <w:t>.2012 №</w:t>
      </w:r>
      <w:r>
        <w:rPr>
          <w:sz w:val="26"/>
          <w:szCs w:val="26"/>
        </w:rPr>
        <w:t>21/4</w:t>
      </w:r>
      <w:r w:rsidRPr="00865668">
        <w:rPr>
          <w:sz w:val="26"/>
          <w:szCs w:val="26"/>
        </w:rPr>
        <w:t xml:space="preserve">) и Регламента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865668">
        <w:rPr>
          <w:sz w:val="26"/>
          <w:szCs w:val="26"/>
        </w:rPr>
        <w:t>ского</w:t>
      </w:r>
      <w:proofErr w:type="spellEnd"/>
      <w:r w:rsidRPr="00865668">
        <w:rPr>
          <w:sz w:val="26"/>
          <w:szCs w:val="26"/>
        </w:rPr>
        <w:t xml:space="preserve">  района Чувашской Республики.</w:t>
      </w:r>
      <w:proofErr w:type="gramEnd"/>
      <w:r w:rsidRPr="00865668">
        <w:rPr>
          <w:sz w:val="26"/>
          <w:szCs w:val="26"/>
        </w:rPr>
        <w:t xml:space="preserve"> Стандарт разработан с учетом действующего стандарта </w:t>
      </w:r>
      <w:r w:rsidRPr="00865668">
        <w:rPr>
          <w:iCs/>
          <w:sz w:val="26"/>
          <w:szCs w:val="26"/>
        </w:rPr>
        <w:t xml:space="preserve">Счетной палаты Российской Федерации </w:t>
      </w:r>
      <w:r w:rsidRPr="00865668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СОД 13 «Подготовка отчетов о работе Счетной палаты Российской Федерации»</w:t>
      </w:r>
      <w:r w:rsidRPr="00865668">
        <w:rPr>
          <w:sz w:val="26"/>
          <w:szCs w:val="26"/>
        </w:rPr>
        <w:t xml:space="preserve"> (утвержден Коллегией Счетной палаты Российской Федерации, протокол  от 11.06.</w:t>
      </w:r>
      <w:r w:rsidRPr="00B03C2F">
        <w:rPr>
          <w:sz w:val="26"/>
          <w:szCs w:val="26"/>
        </w:rPr>
        <w:t>2004 № 20 (390)) (ред. от 21.12.2012).</w:t>
      </w:r>
    </w:p>
    <w:p w:rsidR="00484F6E" w:rsidRPr="00865668" w:rsidRDefault="00484F6E" w:rsidP="00484F6E">
      <w:pPr>
        <w:pStyle w:val="a7"/>
        <w:spacing w:before="120" w:after="0"/>
        <w:ind w:right="9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Pr="00865668">
        <w:rPr>
          <w:bCs/>
          <w:sz w:val="26"/>
          <w:szCs w:val="26"/>
        </w:rPr>
        <w:t>Целью  Стандарта является</w:t>
      </w:r>
      <w:r w:rsidRPr="00865668">
        <w:rPr>
          <w:sz w:val="26"/>
          <w:szCs w:val="26"/>
        </w:rPr>
        <w:t xml:space="preserve"> установление правил подготовки годового отчета о деятельности Контрольно-с</w:t>
      </w:r>
      <w:r w:rsidRPr="00865668">
        <w:rPr>
          <w:iCs/>
          <w:sz w:val="26"/>
          <w:szCs w:val="26"/>
        </w:rPr>
        <w:t xml:space="preserve">четного органа </w:t>
      </w:r>
      <w:proofErr w:type="spellStart"/>
      <w:r>
        <w:rPr>
          <w:iCs/>
          <w:sz w:val="26"/>
          <w:szCs w:val="26"/>
        </w:rPr>
        <w:t>Янтиков</w:t>
      </w:r>
      <w:r w:rsidRPr="00865668">
        <w:rPr>
          <w:iCs/>
          <w:sz w:val="26"/>
          <w:szCs w:val="26"/>
        </w:rPr>
        <w:t>ского</w:t>
      </w:r>
      <w:proofErr w:type="spellEnd"/>
      <w:r w:rsidRPr="00865668">
        <w:rPr>
          <w:iCs/>
          <w:sz w:val="26"/>
          <w:szCs w:val="26"/>
        </w:rPr>
        <w:t xml:space="preserve"> района</w:t>
      </w:r>
      <w:r w:rsidRPr="00865668">
        <w:rPr>
          <w:sz w:val="26"/>
          <w:szCs w:val="26"/>
        </w:rPr>
        <w:t xml:space="preserve"> Чувашской Республики за отчетный период (далее – годовой отчет).</w:t>
      </w:r>
      <w:r w:rsidRPr="00865668">
        <w:rPr>
          <w:bCs/>
          <w:sz w:val="26"/>
          <w:szCs w:val="26"/>
        </w:rPr>
        <w:t xml:space="preserve"> </w:t>
      </w:r>
    </w:p>
    <w:p w:rsidR="00484F6E" w:rsidRPr="00113BFF" w:rsidRDefault="00484F6E" w:rsidP="00484F6E">
      <w:pPr>
        <w:pStyle w:val="2"/>
        <w:spacing w:before="120" w:line="240" w:lineRule="auto"/>
        <w:ind w:right="92"/>
        <w:rPr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 w:rsidRPr="00865668">
        <w:rPr>
          <w:bCs/>
          <w:sz w:val="26"/>
          <w:szCs w:val="26"/>
        </w:rPr>
        <w:t>Задачами Стандарта являются</w:t>
      </w:r>
      <w:r w:rsidRPr="00865668">
        <w:rPr>
          <w:sz w:val="26"/>
          <w:szCs w:val="26"/>
        </w:rPr>
        <w:t xml:space="preserve"> определение структуры годового отчета о деятельности Контрольно-счетного органа</w:t>
      </w:r>
      <w:r w:rsidRPr="00865668"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Янтиков</w:t>
      </w:r>
      <w:r w:rsidRPr="00865668">
        <w:rPr>
          <w:iCs/>
          <w:sz w:val="26"/>
          <w:szCs w:val="26"/>
        </w:rPr>
        <w:t>ского</w:t>
      </w:r>
      <w:proofErr w:type="spellEnd"/>
      <w:r w:rsidRPr="00865668">
        <w:rPr>
          <w:iCs/>
          <w:sz w:val="26"/>
          <w:szCs w:val="26"/>
        </w:rPr>
        <w:t xml:space="preserve"> района</w:t>
      </w:r>
      <w:r w:rsidRPr="00865668">
        <w:rPr>
          <w:sz w:val="26"/>
          <w:szCs w:val="26"/>
        </w:rPr>
        <w:t xml:space="preserve"> Чувашской Республики (далее - Контрольно-с</w:t>
      </w:r>
      <w:r w:rsidRPr="00865668">
        <w:rPr>
          <w:iCs/>
          <w:sz w:val="26"/>
          <w:szCs w:val="26"/>
        </w:rPr>
        <w:t>четный орган),</w:t>
      </w:r>
      <w:r w:rsidRPr="00865668">
        <w:rPr>
          <w:sz w:val="26"/>
          <w:szCs w:val="26"/>
        </w:rPr>
        <w:t xml:space="preserve"> порядка организации работы по подготовке годового отчета, общих требований к представлению документов и материалов для формирования годового  отчета</w:t>
      </w:r>
      <w:r w:rsidRPr="00113BFF">
        <w:rPr>
          <w:sz w:val="26"/>
          <w:szCs w:val="26"/>
        </w:rPr>
        <w:t>.</w:t>
      </w:r>
    </w:p>
    <w:p w:rsidR="00484F6E" w:rsidRPr="00113BFF" w:rsidRDefault="00484F6E" w:rsidP="00484F6E">
      <w:pPr>
        <w:widowControl w:val="0"/>
        <w:spacing w:before="120"/>
        <w:ind w:right="92" w:firstLine="709"/>
        <w:jc w:val="center"/>
        <w:rPr>
          <w:sz w:val="26"/>
          <w:szCs w:val="26"/>
        </w:rPr>
      </w:pPr>
    </w:p>
    <w:p w:rsidR="00484F6E" w:rsidRPr="00113BFF" w:rsidRDefault="00484F6E" w:rsidP="00484F6E">
      <w:pPr>
        <w:widowControl w:val="0"/>
        <w:spacing w:before="120"/>
        <w:ind w:right="92"/>
        <w:jc w:val="center"/>
        <w:rPr>
          <w:b/>
          <w:sz w:val="26"/>
          <w:szCs w:val="26"/>
        </w:rPr>
      </w:pPr>
      <w:r w:rsidRPr="00113BFF">
        <w:rPr>
          <w:b/>
          <w:sz w:val="26"/>
          <w:szCs w:val="26"/>
        </w:rPr>
        <w:t>2. Структура и формирование годового отчета</w:t>
      </w:r>
    </w:p>
    <w:p w:rsidR="00484F6E" w:rsidRPr="00424660" w:rsidRDefault="00484F6E" w:rsidP="00484F6E">
      <w:pPr>
        <w:widowControl w:val="0"/>
        <w:tabs>
          <w:tab w:val="num" w:pos="0"/>
        </w:tabs>
        <w:spacing w:before="120"/>
        <w:ind w:right="92" w:firstLine="709"/>
        <w:jc w:val="both"/>
        <w:rPr>
          <w:sz w:val="26"/>
          <w:szCs w:val="26"/>
        </w:rPr>
      </w:pPr>
      <w:r w:rsidRPr="00424660">
        <w:rPr>
          <w:sz w:val="26"/>
          <w:szCs w:val="26"/>
        </w:rPr>
        <w:t>Годовой отчет содержит общие данные, характеризующие деятельность Контрольно-счетного органа в целом, и их анализ,  и  включает следующие разделы и подразделы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&lt;1&gt;</w:t>
      </w:r>
      <w:r w:rsidRPr="00424660">
        <w:rPr>
          <w:sz w:val="26"/>
          <w:szCs w:val="26"/>
        </w:rPr>
        <w:t>:</w:t>
      </w:r>
    </w:p>
    <w:p w:rsidR="00484F6E" w:rsidRPr="00424660" w:rsidRDefault="00484F6E" w:rsidP="00484F6E">
      <w:pPr>
        <w:pStyle w:val="1"/>
        <w:keepNext w:val="0"/>
        <w:widowControl w:val="0"/>
        <w:tabs>
          <w:tab w:val="num" w:pos="2203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1. Вводные положения:</w:t>
      </w:r>
    </w:p>
    <w:p w:rsidR="00484F6E" w:rsidRPr="00424660" w:rsidRDefault="00484F6E" w:rsidP="00484F6E">
      <w:pPr>
        <w:widowControl w:val="0"/>
        <w:tabs>
          <w:tab w:val="num" w:pos="1800"/>
          <w:tab w:val="left" w:pos="1980"/>
        </w:tabs>
        <w:spacing w:before="120"/>
        <w:ind w:right="9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1.1. Компетенция Контрольно-счетного органа;</w:t>
      </w:r>
    </w:p>
    <w:p w:rsidR="00484F6E" w:rsidRPr="00424660" w:rsidRDefault="00484F6E" w:rsidP="00484F6E">
      <w:pPr>
        <w:widowControl w:val="0"/>
        <w:tabs>
          <w:tab w:val="num" w:pos="1800"/>
          <w:tab w:val="left" w:pos="1980"/>
        </w:tabs>
        <w:spacing w:before="120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1.2. Полномочия Контрольно-счетного органа;</w:t>
      </w:r>
    </w:p>
    <w:p w:rsidR="00484F6E" w:rsidRPr="00424660" w:rsidRDefault="00484F6E" w:rsidP="00484F6E">
      <w:pPr>
        <w:widowControl w:val="0"/>
        <w:tabs>
          <w:tab w:val="left" w:pos="1800"/>
        </w:tabs>
        <w:spacing w:before="120"/>
        <w:ind w:right="9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1.3. Формы осуществления внешнего муниципального финансового контроля  Контрольно-счетного органа;</w:t>
      </w:r>
    </w:p>
    <w:p w:rsidR="00484F6E" w:rsidRPr="00424660" w:rsidRDefault="00484F6E" w:rsidP="00484F6E">
      <w:pPr>
        <w:widowControl w:val="0"/>
        <w:tabs>
          <w:tab w:val="num" w:pos="1800"/>
          <w:tab w:val="left" w:pos="1980"/>
        </w:tabs>
        <w:spacing w:before="120"/>
        <w:ind w:right="9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2. Основные итоги работы в отчетном году;</w:t>
      </w:r>
    </w:p>
    <w:p w:rsidR="00484F6E" w:rsidRPr="00424660" w:rsidRDefault="00484F6E" w:rsidP="00484F6E">
      <w:pPr>
        <w:pStyle w:val="a3"/>
        <w:widowControl w:val="0"/>
        <w:tabs>
          <w:tab w:val="num" w:pos="2203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 xml:space="preserve">3. </w:t>
      </w:r>
      <w:proofErr w:type="gramStart"/>
      <w:r w:rsidRPr="00424660">
        <w:rPr>
          <w:sz w:val="26"/>
          <w:szCs w:val="26"/>
        </w:rPr>
        <w:t>Контроль за</w:t>
      </w:r>
      <w:proofErr w:type="gramEnd"/>
      <w:r w:rsidRPr="00424660">
        <w:rPr>
          <w:sz w:val="26"/>
          <w:szCs w:val="26"/>
        </w:rPr>
        <w:t xml:space="preserve"> формированием и исполнением </w:t>
      </w:r>
      <w:r>
        <w:rPr>
          <w:sz w:val="26"/>
          <w:szCs w:val="26"/>
        </w:rPr>
        <w:t xml:space="preserve">местного </w:t>
      </w:r>
      <w:r w:rsidRPr="00424660">
        <w:rPr>
          <w:sz w:val="26"/>
          <w:szCs w:val="26"/>
        </w:rPr>
        <w:t>бюдже</w:t>
      </w:r>
      <w:r>
        <w:rPr>
          <w:sz w:val="26"/>
          <w:szCs w:val="26"/>
        </w:rPr>
        <w:t>та</w:t>
      </w:r>
      <w:r w:rsidRPr="00424660">
        <w:rPr>
          <w:sz w:val="26"/>
          <w:szCs w:val="26"/>
        </w:rPr>
        <w:t>:</w:t>
      </w:r>
    </w:p>
    <w:p w:rsidR="00484F6E" w:rsidRPr="00424660" w:rsidRDefault="00484F6E" w:rsidP="00484F6E">
      <w:pPr>
        <w:pStyle w:val="a3"/>
        <w:widowControl w:val="0"/>
        <w:tabs>
          <w:tab w:val="num" w:pos="108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3.1. Предварительный контроль;</w:t>
      </w:r>
    </w:p>
    <w:p w:rsidR="00484F6E" w:rsidRPr="00424660" w:rsidRDefault="00484F6E" w:rsidP="00484F6E">
      <w:pPr>
        <w:pStyle w:val="a3"/>
        <w:widowControl w:val="0"/>
        <w:tabs>
          <w:tab w:val="num" w:pos="198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3.2. Последующий контроль;</w:t>
      </w:r>
    </w:p>
    <w:p w:rsidR="00484F6E" w:rsidRPr="00424660" w:rsidRDefault="00484F6E" w:rsidP="00484F6E">
      <w:pPr>
        <w:pStyle w:val="a3"/>
        <w:widowControl w:val="0"/>
        <w:tabs>
          <w:tab w:val="num" w:pos="1080"/>
          <w:tab w:val="left" w:pos="198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 xml:space="preserve">3.3. Меры, принимаемые по результатам </w:t>
      </w:r>
      <w:proofErr w:type="gramStart"/>
      <w:r w:rsidRPr="00424660">
        <w:rPr>
          <w:sz w:val="26"/>
          <w:szCs w:val="26"/>
        </w:rPr>
        <w:t>контроля за</w:t>
      </w:r>
      <w:proofErr w:type="gramEnd"/>
      <w:r w:rsidRPr="00424660">
        <w:rPr>
          <w:sz w:val="26"/>
          <w:szCs w:val="26"/>
        </w:rPr>
        <w:t xml:space="preserve"> формированием и исполнением </w:t>
      </w:r>
      <w:r>
        <w:rPr>
          <w:sz w:val="26"/>
          <w:szCs w:val="26"/>
        </w:rPr>
        <w:t xml:space="preserve">местного </w:t>
      </w:r>
      <w:r w:rsidRPr="00424660">
        <w:rPr>
          <w:sz w:val="26"/>
          <w:szCs w:val="26"/>
        </w:rPr>
        <w:t xml:space="preserve">бюджета; </w:t>
      </w:r>
    </w:p>
    <w:p w:rsidR="00484F6E" w:rsidRPr="00424660" w:rsidRDefault="00484F6E" w:rsidP="00484F6E">
      <w:pPr>
        <w:pStyle w:val="a3"/>
        <w:widowControl w:val="0"/>
        <w:tabs>
          <w:tab w:val="left" w:pos="540"/>
          <w:tab w:val="num" w:pos="2203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4. Контрольная деятельность:</w:t>
      </w:r>
    </w:p>
    <w:p w:rsidR="00484F6E" w:rsidRPr="00424660" w:rsidRDefault="00484F6E" w:rsidP="00484F6E">
      <w:pPr>
        <w:pStyle w:val="a3"/>
        <w:widowControl w:val="0"/>
        <w:tabs>
          <w:tab w:val="num" w:pos="198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4.1. Характеристика контрольных мероприятий;</w:t>
      </w:r>
    </w:p>
    <w:p w:rsidR="00484F6E" w:rsidRPr="00424660" w:rsidRDefault="00484F6E" w:rsidP="00484F6E">
      <w:pPr>
        <w:pStyle w:val="a3"/>
        <w:widowControl w:val="0"/>
        <w:tabs>
          <w:tab w:val="num" w:pos="198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4.2. Основные оценки по результатам контроля;</w:t>
      </w:r>
    </w:p>
    <w:p w:rsidR="00484F6E" w:rsidRPr="00424660" w:rsidRDefault="00484F6E" w:rsidP="00484F6E">
      <w:pPr>
        <w:pStyle w:val="a3"/>
        <w:widowControl w:val="0"/>
        <w:tabs>
          <w:tab w:val="num" w:pos="216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4.3. Меры, принятые по устранению нарушений, выявленных Контрольно-счетным органом;</w:t>
      </w:r>
    </w:p>
    <w:p w:rsidR="00484F6E" w:rsidRPr="00424660" w:rsidRDefault="00484F6E" w:rsidP="00484F6E">
      <w:pPr>
        <w:pStyle w:val="a3"/>
        <w:widowControl w:val="0"/>
        <w:tabs>
          <w:tab w:val="left" w:pos="540"/>
          <w:tab w:val="left" w:pos="1620"/>
          <w:tab w:val="left" w:pos="1701"/>
          <w:tab w:val="num" w:pos="2203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5. Экспертно-аналитическая деятельность:</w:t>
      </w:r>
    </w:p>
    <w:p w:rsidR="00484F6E" w:rsidRPr="00424660" w:rsidRDefault="00484F6E" w:rsidP="00484F6E">
      <w:pPr>
        <w:pStyle w:val="a3"/>
        <w:widowControl w:val="0"/>
        <w:tabs>
          <w:tab w:val="left" w:pos="540"/>
          <w:tab w:val="left" w:pos="1620"/>
          <w:tab w:val="left" w:pos="1701"/>
          <w:tab w:val="num" w:pos="2203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424660">
        <w:rPr>
          <w:sz w:val="26"/>
          <w:szCs w:val="26"/>
        </w:rPr>
        <w:t>5.1. Характеристика экспертно-аналитической деятельности;</w:t>
      </w:r>
    </w:p>
    <w:p w:rsidR="00484F6E" w:rsidRPr="00424660" w:rsidRDefault="00484F6E" w:rsidP="00484F6E">
      <w:pPr>
        <w:pStyle w:val="a3"/>
        <w:widowControl w:val="0"/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5.2. Экспертиза проектов нормативных актов;</w:t>
      </w:r>
    </w:p>
    <w:p w:rsidR="00484F6E" w:rsidRPr="00424660" w:rsidRDefault="00484F6E" w:rsidP="00484F6E">
      <w:pPr>
        <w:pStyle w:val="a3"/>
        <w:widowControl w:val="0"/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5.3. Предложения по совершенствованию нормативных и правовых актов;</w:t>
      </w:r>
    </w:p>
    <w:p w:rsidR="00484F6E" w:rsidRPr="00424660" w:rsidRDefault="00484F6E" w:rsidP="00484F6E">
      <w:pPr>
        <w:pStyle w:val="a3"/>
        <w:widowControl w:val="0"/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5.4. Аналитическая деятельность;</w:t>
      </w:r>
    </w:p>
    <w:p w:rsidR="00484F6E" w:rsidRPr="00424660" w:rsidRDefault="00484F6E" w:rsidP="00484F6E">
      <w:pPr>
        <w:pStyle w:val="a3"/>
        <w:widowControl w:val="0"/>
        <w:tabs>
          <w:tab w:val="left" w:pos="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6. Основные итоги контрольной и экспертно-аналитической деятельности по направлениям деятельности Контрольно-счетного органа;</w:t>
      </w:r>
    </w:p>
    <w:p w:rsidR="00484F6E" w:rsidRPr="00424660" w:rsidRDefault="00484F6E" w:rsidP="00484F6E">
      <w:pPr>
        <w:pStyle w:val="a3"/>
        <w:widowControl w:val="0"/>
        <w:tabs>
          <w:tab w:val="left" w:pos="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7. Взаимодействие Контрольно-счетного органа с государственными и муниципальными органами;</w:t>
      </w:r>
    </w:p>
    <w:p w:rsidR="00484F6E" w:rsidRPr="00424660" w:rsidRDefault="00484F6E" w:rsidP="00484F6E">
      <w:pPr>
        <w:pStyle w:val="a3"/>
        <w:widowControl w:val="0"/>
        <w:tabs>
          <w:tab w:val="left" w:pos="0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>8. Информирование общественности о деятельности  Контрольно-счетного органа;</w:t>
      </w:r>
    </w:p>
    <w:p w:rsidR="00484F6E" w:rsidRPr="00444EF6" w:rsidRDefault="00484F6E" w:rsidP="00484F6E">
      <w:pPr>
        <w:pStyle w:val="a3"/>
        <w:widowControl w:val="0"/>
        <w:tabs>
          <w:tab w:val="left" w:pos="540"/>
          <w:tab w:val="num" w:pos="2203"/>
        </w:tabs>
        <w:spacing w:before="120" w:line="240" w:lineRule="auto"/>
        <w:ind w:right="92"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424660">
        <w:rPr>
          <w:sz w:val="26"/>
          <w:szCs w:val="26"/>
        </w:rPr>
        <w:t xml:space="preserve">9. Обеспечение </w:t>
      </w:r>
      <w:r w:rsidRPr="00444EF6">
        <w:rPr>
          <w:sz w:val="26"/>
          <w:szCs w:val="26"/>
        </w:rPr>
        <w:t>деятельности Контрольно-счетного органа:</w:t>
      </w:r>
    </w:p>
    <w:p w:rsidR="00484F6E" w:rsidRPr="00444EF6" w:rsidRDefault="00484F6E" w:rsidP="00484F6E">
      <w:pPr>
        <w:pStyle w:val="a3"/>
        <w:widowControl w:val="0"/>
        <w:tabs>
          <w:tab w:val="left" w:pos="2340"/>
        </w:tabs>
        <w:spacing w:before="120" w:line="240" w:lineRule="auto"/>
        <w:ind w:right="92" w:firstLine="709"/>
        <w:rPr>
          <w:sz w:val="26"/>
          <w:szCs w:val="26"/>
        </w:rPr>
      </w:pPr>
      <w:r w:rsidRPr="00444EF6">
        <w:rPr>
          <w:sz w:val="26"/>
          <w:szCs w:val="26"/>
        </w:rPr>
        <w:t>2.9.1. Кадровое обеспечение деятельности Контрольно-счетного органа;</w:t>
      </w:r>
    </w:p>
    <w:p w:rsidR="00484F6E" w:rsidRPr="00444EF6" w:rsidRDefault="00484F6E" w:rsidP="00484F6E">
      <w:pPr>
        <w:pStyle w:val="a3"/>
        <w:widowControl w:val="0"/>
        <w:tabs>
          <w:tab w:val="left" w:pos="2340"/>
        </w:tabs>
        <w:spacing w:before="120" w:line="240" w:lineRule="auto"/>
        <w:ind w:right="92" w:firstLine="709"/>
        <w:rPr>
          <w:sz w:val="26"/>
          <w:szCs w:val="26"/>
        </w:rPr>
      </w:pPr>
      <w:r w:rsidRPr="00444EF6">
        <w:rPr>
          <w:sz w:val="26"/>
          <w:szCs w:val="26"/>
        </w:rPr>
        <w:t>2.9.2. Информационно-технологическое обеспечение деятельности Контрольно-счетного органа;</w:t>
      </w:r>
    </w:p>
    <w:p w:rsidR="00484F6E" w:rsidRPr="00444EF6" w:rsidRDefault="00484F6E" w:rsidP="00484F6E">
      <w:pPr>
        <w:pStyle w:val="a3"/>
        <w:widowControl w:val="0"/>
        <w:tabs>
          <w:tab w:val="num" w:pos="0"/>
        </w:tabs>
        <w:spacing w:before="120" w:line="240" w:lineRule="auto"/>
        <w:ind w:right="92" w:firstLine="709"/>
        <w:rPr>
          <w:sz w:val="26"/>
          <w:szCs w:val="26"/>
        </w:rPr>
      </w:pPr>
      <w:r w:rsidRPr="00444EF6">
        <w:rPr>
          <w:sz w:val="26"/>
          <w:szCs w:val="26"/>
        </w:rPr>
        <w:t>2.10. Заключительные положения.</w:t>
      </w:r>
    </w:p>
    <w:p w:rsidR="00484F6E" w:rsidRPr="00444EF6" w:rsidRDefault="00484F6E" w:rsidP="00484F6E">
      <w:pPr>
        <w:autoSpaceDE w:val="0"/>
        <w:autoSpaceDN w:val="0"/>
        <w:adjustRightInd w:val="0"/>
        <w:ind w:right="92" w:firstLine="709"/>
        <w:jc w:val="both"/>
        <w:rPr>
          <w:sz w:val="26"/>
          <w:szCs w:val="26"/>
        </w:rPr>
      </w:pPr>
      <w:r w:rsidRPr="00444EF6">
        <w:rPr>
          <w:sz w:val="26"/>
          <w:szCs w:val="26"/>
        </w:rPr>
        <w:t>--------------------------------</w:t>
      </w:r>
    </w:p>
    <w:p w:rsidR="00484F6E" w:rsidRPr="00444EF6" w:rsidRDefault="00484F6E" w:rsidP="00484F6E">
      <w:pPr>
        <w:widowControl w:val="0"/>
        <w:tabs>
          <w:tab w:val="num" w:pos="1276"/>
        </w:tabs>
        <w:spacing w:before="120"/>
        <w:ind w:right="92" w:firstLine="709"/>
        <w:jc w:val="both"/>
        <w:rPr>
          <w:sz w:val="26"/>
          <w:szCs w:val="26"/>
        </w:rPr>
      </w:pPr>
      <w:r w:rsidRPr="00444EF6">
        <w:rPr>
          <w:sz w:val="26"/>
          <w:szCs w:val="26"/>
        </w:rPr>
        <w:t>&lt;1</w:t>
      </w:r>
      <w:proofErr w:type="gramStart"/>
      <w:r w:rsidRPr="00444EF6">
        <w:rPr>
          <w:sz w:val="26"/>
          <w:szCs w:val="26"/>
        </w:rPr>
        <w:t>&gt; П</w:t>
      </w:r>
      <w:proofErr w:type="gramEnd"/>
      <w:r w:rsidRPr="00444EF6">
        <w:rPr>
          <w:sz w:val="26"/>
          <w:szCs w:val="26"/>
        </w:rPr>
        <w:t xml:space="preserve">ри необходимости в структуру годового отчета решением </w:t>
      </w:r>
      <w:r>
        <w:rPr>
          <w:sz w:val="26"/>
          <w:szCs w:val="26"/>
        </w:rPr>
        <w:t>п</w:t>
      </w:r>
      <w:r w:rsidRPr="00444EF6">
        <w:rPr>
          <w:sz w:val="26"/>
          <w:szCs w:val="26"/>
        </w:rPr>
        <w:t>редседателя Контрольно-счетного органа  могут быть внесены изменения</w:t>
      </w:r>
      <w:r>
        <w:rPr>
          <w:sz w:val="26"/>
          <w:szCs w:val="26"/>
        </w:rPr>
        <w:t>.</w:t>
      </w:r>
      <w:r w:rsidRPr="00444EF6">
        <w:rPr>
          <w:sz w:val="26"/>
          <w:szCs w:val="26"/>
        </w:rPr>
        <w:t xml:space="preserve"> </w:t>
      </w:r>
    </w:p>
    <w:p w:rsidR="00484F6E" w:rsidRPr="00444EF6" w:rsidRDefault="00484F6E" w:rsidP="00484F6E">
      <w:pPr>
        <w:widowControl w:val="0"/>
        <w:tabs>
          <w:tab w:val="num" w:pos="1276"/>
        </w:tabs>
        <w:spacing w:before="120"/>
        <w:ind w:right="92" w:firstLine="709"/>
        <w:jc w:val="both"/>
        <w:rPr>
          <w:sz w:val="26"/>
          <w:szCs w:val="26"/>
        </w:rPr>
      </w:pPr>
      <w:r w:rsidRPr="00444EF6">
        <w:rPr>
          <w:sz w:val="26"/>
          <w:szCs w:val="26"/>
        </w:rPr>
        <w:t>В качестве приложений к годовому отчету могут приводиться необходимые количественные и фактографические данные, в том числе:</w:t>
      </w:r>
    </w:p>
    <w:p w:rsidR="00484F6E" w:rsidRPr="00444EF6" w:rsidRDefault="00484F6E" w:rsidP="00484F6E">
      <w:pPr>
        <w:pStyle w:val="2"/>
        <w:widowControl w:val="0"/>
        <w:tabs>
          <w:tab w:val="num" w:pos="0"/>
        </w:tabs>
        <w:spacing w:before="120" w:line="240" w:lineRule="auto"/>
        <w:ind w:right="92"/>
        <w:rPr>
          <w:sz w:val="26"/>
          <w:szCs w:val="26"/>
        </w:rPr>
      </w:pPr>
      <w:r w:rsidRPr="00444EF6">
        <w:rPr>
          <w:sz w:val="26"/>
          <w:szCs w:val="26"/>
        </w:rPr>
        <w:t>основные показатели деятельности Контрольно-счетного органа в отчетном году;</w:t>
      </w:r>
    </w:p>
    <w:p w:rsidR="00484F6E" w:rsidRPr="00444EF6" w:rsidRDefault="00484F6E" w:rsidP="00484F6E">
      <w:pPr>
        <w:widowControl w:val="0"/>
        <w:tabs>
          <w:tab w:val="num" w:pos="1260"/>
        </w:tabs>
        <w:spacing w:before="120"/>
        <w:ind w:right="92" w:firstLine="709"/>
        <w:jc w:val="both"/>
        <w:rPr>
          <w:sz w:val="26"/>
          <w:szCs w:val="26"/>
        </w:rPr>
      </w:pPr>
      <w:r w:rsidRPr="00444EF6">
        <w:rPr>
          <w:sz w:val="26"/>
          <w:szCs w:val="26"/>
        </w:rPr>
        <w:t>структура финансовых нарушений, выявленных Контрольно-счетным органом в отчетном году;</w:t>
      </w:r>
    </w:p>
    <w:p w:rsidR="00484F6E" w:rsidRPr="00424660" w:rsidRDefault="00484F6E" w:rsidP="00484F6E">
      <w:pPr>
        <w:widowControl w:val="0"/>
        <w:tabs>
          <w:tab w:val="num" w:pos="1260"/>
        </w:tabs>
        <w:spacing w:before="120"/>
        <w:ind w:right="92" w:firstLine="709"/>
        <w:jc w:val="both"/>
        <w:rPr>
          <w:sz w:val="26"/>
          <w:szCs w:val="26"/>
        </w:rPr>
      </w:pPr>
      <w:r w:rsidRPr="00444EF6">
        <w:rPr>
          <w:sz w:val="26"/>
          <w:szCs w:val="26"/>
        </w:rPr>
        <w:t>количественные данные о выполнении представлений</w:t>
      </w:r>
      <w:r w:rsidRPr="00424660">
        <w:rPr>
          <w:sz w:val="26"/>
          <w:szCs w:val="26"/>
        </w:rPr>
        <w:t xml:space="preserve"> и предписаний Контрольно-счетного органа в отчетном году. </w:t>
      </w:r>
    </w:p>
    <w:p w:rsidR="00484F6E" w:rsidRDefault="00484F6E" w:rsidP="00484F6E">
      <w:pPr>
        <w:widowControl w:val="0"/>
        <w:tabs>
          <w:tab w:val="num" w:pos="1276"/>
        </w:tabs>
        <w:spacing w:before="120"/>
        <w:ind w:right="92" w:firstLine="709"/>
        <w:jc w:val="both"/>
        <w:rPr>
          <w:sz w:val="26"/>
          <w:szCs w:val="26"/>
        </w:rPr>
      </w:pPr>
      <w:r w:rsidRPr="00424660">
        <w:rPr>
          <w:sz w:val="26"/>
          <w:szCs w:val="26"/>
        </w:rPr>
        <w:t xml:space="preserve">Годовой отчет, утвержденный председателем Контрольно-счетного органа, представляется Собранию депутатов </w:t>
      </w:r>
      <w:proofErr w:type="spellStart"/>
      <w:r>
        <w:rPr>
          <w:sz w:val="26"/>
          <w:szCs w:val="26"/>
        </w:rPr>
        <w:t>Янтиков</w:t>
      </w:r>
      <w:r w:rsidRPr="00424660">
        <w:rPr>
          <w:sz w:val="26"/>
          <w:szCs w:val="26"/>
        </w:rPr>
        <w:t>ского</w:t>
      </w:r>
      <w:proofErr w:type="spellEnd"/>
      <w:r w:rsidRPr="00424660">
        <w:rPr>
          <w:sz w:val="26"/>
          <w:szCs w:val="26"/>
        </w:rPr>
        <w:t xml:space="preserve"> района и главе </w:t>
      </w:r>
      <w:proofErr w:type="spellStart"/>
      <w:r>
        <w:rPr>
          <w:sz w:val="26"/>
          <w:szCs w:val="26"/>
        </w:rPr>
        <w:t>Янтиков</w:t>
      </w:r>
      <w:r w:rsidRPr="00424660">
        <w:rPr>
          <w:sz w:val="26"/>
          <w:szCs w:val="26"/>
        </w:rPr>
        <w:t>ского</w:t>
      </w:r>
      <w:proofErr w:type="spellEnd"/>
      <w:r w:rsidRPr="00424660">
        <w:rPr>
          <w:sz w:val="26"/>
          <w:szCs w:val="26"/>
        </w:rPr>
        <w:t xml:space="preserve"> района  не позднее </w:t>
      </w:r>
      <w:r>
        <w:rPr>
          <w:sz w:val="26"/>
          <w:szCs w:val="26"/>
        </w:rPr>
        <w:t>28</w:t>
      </w:r>
      <w:r w:rsidRPr="00424660">
        <w:rPr>
          <w:sz w:val="26"/>
          <w:szCs w:val="26"/>
        </w:rPr>
        <w:t xml:space="preserve"> февраля года</w:t>
      </w:r>
      <w:r>
        <w:rPr>
          <w:sz w:val="26"/>
          <w:szCs w:val="26"/>
        </w:rPr>
        <w:t>,</w:t>
      </w:r>
      <w:r w:rsidRPr="00424660">
        <w:rPr>
          <w:sz w:val="26"/>
          <w:szCs w:val="26"/>
        </w:rPr>
        <w:t xml:space="preserve"> следующего </w:t>
      </w:r>
      <w:proofErr w:type="gramStart"/>
      <w:r w:rsidRPr="00424660">
        <w:rPr>
          <w:sz w:val="26"/>
          <w:szCs w:val="26"/>
        </w:rPr>
        <w:t>за</w:t>
      </w:r>
      <w:proofErr w:type="gramEnd"/>
      <w:r w:rsidRPr="00424660">
        <w:rPr>
          <w:sz w:val="26"/>
          <w:szCs w:val="26"/>
        </w:rPr>
        <w:t xml:space="preserve"> отчетным.</w:t>
      </w:r>
    </w:p>
    <w:p w:rsidR="00484F6E" w:rsidRDefault="00484F6E" w:rsidP="00484F6E">
      <w:pPr>
        <w:widowControl w:val="0"/>
        <w:spacing w:before="120"/>
        <w:ind w:right="92"/>
        <w:jc w:val="center"/>
        <w:rPr>
          <w:b/>
          <w:sz w:val="26"/>
          <w:szCs w:val="26"/>
        </w:rPr>
      </w:pPr>
    </w:p>
    <w:p w:rsidR="00484F6E" w:rsidRPr="00424660" w:rsidRDefault="00484F6E" w:rsidP="00484F6E">
      <w:pPr>
        <w:widowControl w:val="0"/>
        <w:spacing w:before="120"/>
        <w:ind w:right="92"/>
        <w:jc w:val="center"/>
        <w:rPr>
          <w:b/>
          <w:sz w:val="26"/>
          <w:szCs w:val="26"/>
        </w:rPr>
      </w:pPr>
      <w:r w:rsidRPr="00424660">
        <w:rPr>
          <w:b/>
          <w:sz w:val="26"/>
          <w:szCs w:val="26"/>
        </w:rPr>
        <w:t>3. Правила формирования годового отчета</w:t>
      </w:r>
    </w:p>
    <w:p w:rsidR="00484F6E" w:rsidRDefault="00484F6E" w:rsidP="00484F6E">
      <w:pPr>
        <w:pStyle w:val="2"/>
        <w:widowControl w:val="0"/>
        <w:tabs>
          <w:tab w:val="num" w:pos="1276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424660">
        <w:rPr>
          <w:sz w:val="26"/>
          <w:szCs w:val="26"/>
        </w:rPr>
        <w:t xml:space="preserve">Учет количества проведенных контрольных и экспертно-аналитических мероприятий осуществляется как по исполненным пунктам плана работы Контрольно-счетного органа, так и внеплановым мероприятиям (завершенным контрольным и экспертно-аналитическим мероприятиям). </w:t>
      </w:r>
      <w:r>
        <w:rPr>
          <w:sz w:val="26"/>
          <w:szCs w:val="26"/>
        </w:rPr>
        <w:t>Контрольные и экспертно-аналитические мероприятия учитываются раздельно.</w:t>
      </w:r>
    </w:p>
    <w:p w:rsidR="00484F6E" w:rsidRPr="00424660" w:rsidRDefault="00484F6E" w:rsidP="00484F6E">
      <w:pPr>
        <w:pStyle w:val="2"/>
        <w:widowControl w:val="0"/>
        <w:tabs>
          <w:tab w:val="num" w:pos="1276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424660">
        <w:rPr>
          <w:sz w:val="26"/>
          <w:szCs w:val="26"/>
        </w:rPr>
        <w:t xml:space="preserve">В годовом отчете каждое контрольное и экспертно-аналитическое мероприятие учитывается: </w:t>
      </w:r>
    </w:p>
    <w:p w:rsidR="00484F6E" w:rsidRPr="00424660" w:rsidRDefault="00484F6E" w:rsidP="00484F6E">
      <w:pPr>
        <w:pStyle w:val="2"/>
        <w:widowControl w:val="0"/>
        <w:tabs>
          <w:tab w:val="num" w:pos="1620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>3.2.</w:t>
      </w:r>
      <w:r w:rsidRPr="00424660">
        <w:rPr>
          <w:sz w:val="26"/>
          <w:szCs w:val="26"/>
        </w:rPr>
        <w:t xml:space="preserve">1. По отношению к контролю формирования и исполнения </w:t>
      </w:r>
      <w:r>
        <w:rPr>
          <w:sz w:val="26"/>
          <w:szCs w:val="26"/>
        </w:rPr>
        <w:t xml:space="preserve">местного </w:t>
      </w:r>
      <w:r w:rsidRPr="00424660">
        <w:rPr>
          <w:sz w:val="26"/>
          <w:szCs w:val="26"/>
        </w:rPr>
        <w:t xml:space="preserve">бюджета </w:t>
      </w:r>
      <w:proofErr w:type="spellStart"/>
      <w:r>
        <w:rPr>
          <w:sz w:val="26"/>
          <w:szCs w:val="26"/>
        </w:rPr>
        <w:t>Янтиков</w:t>
      </w:r>
      <w:r w:rsidRPr="00424660">
        <w:rPr>
          <w:sz w:val="26"/>
          <w:szCs w:val="26"/>
        </w:rPr>
        <w:t>ского</w:t>
      </w:r>
      <w:proofErr w:type="spellEnd"/>
      <w:r w:rsidRPr="00424660">
        <w:rPr>
          <w:sz w:val="26"/>
          <w:szCs w:val="26"/>
        </w:rPr>
        <w:t xml:space="preserve"> района Чувашской Республики – как:</w:t>
      </w:r>
    </w:p>
    <w:p w:rsidR="00484F6E" w:rsidRPr="00424660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24660">
        <w:rPr>
          <w:sz w:val="26"/>
          <w:szCs w:val="26"/>
        </w:rPr>
        <w:t xml:space="preserve">экспертно-аналитическое мероприятие, проведенное в рамках непосредственного обеспечения предварительного и последующего контроля формирования и исполнения </w:t>
      </w:r>
      <w:r>
        <w:rPr>
          <w:sz w:val="26"/>
          <w:szCs w:val="26"/>
        </w:rPr>
        <w:t xml:space="preserve">местного </w:t>
      </w:r>
      <w:r w:rsidRPr="00424660">
        <w:rPr>
          <w:sz w:val="26"/>
          <w:szCs w:val="26"/>
        </w:rPr>
        <w:t xml:space="preserve">бюджета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района.</w:t>
      </w:r>
    </w:p>
    <w:p w:rsidR="00484F6E" w:rsidRPr="00424660" w:rsidRDefault="00484F6E" w:rsidP="00484F6E">
      <w:pPr>
        <w:pStyle w:val="2"/>
        <w:widowControl w:val="0"/>
        <w:tabs>
          <w:tab w:val="num" w:pos="1620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>3.2.</w:t>
      </w:r>
      <w:r w:rsidRPr="00424660">
        <w:rPr>
          <w:sz w:val="26"/>
          <w:szCs w:val="26"/>
        </w:rPr>
        <w:t>2. По отношению к выполнению поручений и обращений к Контрольно-счетному органу – как контрольное или экспертно-аналитическое мероприятие, выполненное:</w:t>
      </w:r>
    </w:p>
    <w:p w:rsidR="00484F6E" w:rsidRPr="00424660" w:rsidRDefault="00484F6E" w:rsidP="00484F6E">
      <w:pPr>
        <w:pStyle w:val="2"/>
        <w:widowControl w:val="0"/>
        <w:tabs>
          <w:tab w:val="num" w:pos="1620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4660">
        <w:rPr>
          <w:sz w:val="26"/>
          <w:szCs w:val="26"/>
        </w:rPr>
        <w:t xml:space="preserve">по поручению, предложению, запросу, подлежащему обязательному включению в план работы Контрольно-счетного органа; </w:t>
      </w:r>
    </w:p>
    <w:p w:rsidR="00484F6E" w:rsidRPr="00424660" w:rsidRDefault="00484F6E" w:rsidP="00484F6E">
      <w:pPr>
        <w:pStyle w:val="2"/>
        <w:widowControl w:val="0"/>
        <w:tabs>
          <w:tab w:val="num" w:pos="1620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4660">
        <w:rPr>
          <w:sz w:val="26"/>
          <w:szCs w:val="26"/>
        </w:rPr>
        <w:t>по запросу, подлежащему обязательному рассмотрению при формировании плана работы Контрольно-счетного органа;</w:t>
      </w:r>
    </w:p>
    <w:p w:rsidR="00484F6E" w:rsidRPr="00424660" w:rsidRDefault="00484F6E" w:rsidP="00484F6E">
      <w:pPr>
        <w:pStyle w:val="2"/>
        <w:widowControl w:val="0"/>
        <w:tabs>
          <w:tab w:val="num" w:pos="1620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4660">
        <w:rPr>
          <w:sz w:val="26"/>
          <w:szCs w:val="26"/>
        </w:rPr>
        <w:t>по инициативе Контрольно-счетного органа (без поручения или обращения).</w:t>
      </w:r>
    </w:p>
    <w:p w:rsidR="00484F6E" w:rsidRPr="00424660" w:rsidRDefault="00484F6E" w:rsidP="00484F6E">
      <w:pPr>
        <w:pStyle w:val="2"/>
        <w:widowControl w:val="0"/>
        <w:tabs>
          <w:tab w:val="num" w:pos="1620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>3.</w:t>
      </w:r>
      <w:r w:rsidRPr="00424660">
        <w:rPr>
          <w:sz w:val="26"/>
          <w:szCs w:val="26"/>
        </w:rPr>
        <w:t>3. По отношению к составу участников – как мероприятие, проведенное:</w:t>
      </w:r>
    </w:p>
    <w:p w:rsidR="00484F6E" w:rsidRPr="00424660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4660">
        <w:rPr>
          <w:sz w:val="26"/>
          <w:szCs w:val="26"/>
        </w:rPr>
        <w:t>одним должностным лицом по закрепленным направлениям деятельности Контрольно-счетного органа;</w:t>
      </w:r>
    </w:p>
    <w:p w:rsidR="00484F6E" w:rsidRPr="00F72F48" w:rsidRDefault="00484F6E" w:rsidP="00484F6E">
      <w:pPr>
        <w:pStyle w:val="2"/>
        <w:widowControl w:val="0"/>
        <w:tabs>
          <w:tab w:val="num" w:pos="1620"/>
        </w:tabs>
        <w:spacing w:before="120" w:line="240" w:lineRule="auto"/>
        <w:ind w:right="92"/>
        <w:rPr>
          <w:sz w:val="26"/>
          <w:szCs w:val="26"/>
        </w:rPr>
      </w:pPr>
      <w:r w:rsidRPr="00F72F48">
        <w:rPr>
          <w:sz w:val="26"/>
          <w:szCs w:val="26"/>
        </w:rPr>
        <w:t>- совместно двумя или более должностными лицами по закрепленным направлениям деятельности Контрольно-счетного органа;</w:t>
      </w:r>
    </w:p>
    <w:p w:rsidR="00484F6E" w:rsidRPr="00F72F48" w:rsidRDefault="00484F6E" w:rsidP="00484F6E">
      <w:pPr>
        <w:pStyle w:val="2"/>
        <w:widowControl w:val="0"/>
        <w:tabs>
          <w:tab w:val="num" w:pos="1620"/>
        </w:tabs>
        <w:spacing w:before="120" w:line="240" w:lineRule="auto"/>
        <w:ind w:right="92"/>
        <w:rPr>
          <w:sz w:val="26"/>
          <w:szCs w:val="26"/>
        </w:rPr>
      </w:pPr>
      <w:r w:rsidRPr="00F72F48">
        <w:rPr>
          <w:sz w:val="26"/>
          <w:szCs w:val="26"/>
        </w:rPr>
        <w:t xml:space="preserve">- </w:t>
      </w:r>
      <w:r w:rsidRPr="00F72F48">
        <w:rPr>
          <w:bCs/>
          <w:sz w:val="26"/>
          <w:szCs w:val="26"/>
        </w:rPr>
        <w:t>с органами финансового контроля, правоохранительными, надзорными и иными органами.</w:t>
      </w:r>
      <w:r w:rsidRPr="00F72F48">
        <w:rPr>
          <w:sz w:val="26"/>
          <w:szCs w:val="26"/>
        </w:rPr>
        <w:t xml:space="preserve"> </w:t>
      </w:r>
    </w:p>
    <w:p w:rsidR="00484F6E" w:rsidRPr="00424660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424660">
        <w:rPr>
          <w:sz w:val="26"/>
          <w:szCs w:val="26"/>
        </w:rPr>
        <w:t xml:space="preserve"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484F6E" w:rsidRPr="00424660" w:rsidRDefault="00484F6E" w:rsidP="00484F6E">
      <w:pPr>
        <w:widowControl w:val="0"/>
        <w:tabs>
          <w:tab w:val="num" w:pos="900"/>
          <w:tab w:val="num" w:pos="1080"/>
        </w:tabs>
        <w:spacing w:before="120"/>
        <w:ind w:right="9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424660">
        <w:rPr>
          <w:sz w:val="26"/>
          <w:szCs w:val="26"/>
        </w:rPr>
        <w:t>Все данные приводятся строго за отчетный период (за период с 1 января по 31 декабря отчетного года). Количественные и суммовые показатели  годового отчета формируются на основе данных, отраженных в сведениях о результатах проведенного контрольного мероприятия.</w:t>
      </w:r>
    </w:p>
    <w:p w:rsidR="00484F6E" w:rsidRPr="00424660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3.6 </w:t>
      </w:r>
      <w:r w:rsidRPr="00424660">
        <w:rPr>
          <w:sz w:val="26"/>
          <w:szCs w:val="26"/>
        </w:rPr>
        <w:t>Суммовые показатели годового отчета, такие как суммы выявленных и возмещенных финансовых нарушений, объем проверенных средств и т.п. указываются в тысячах рублей.</w:t>
      </w:r>
    </w:p>
    <w:p w:rsidR="00484F6E" w:rsidRPr="00424660" w:rsidRDefault="00484F6E" w:rsidP="00484F6E">
      <w:pPr>
        <w:pStyle w:val="2"/>
        <w:widowControl w:val="0"/>
        <w:tabs>
          <w:tab w:val="num" w:pos="1276"/>
        </w:tabs>
        <w:spacing w:before="120" w:line="240" w:lineRule="auto"/>
        <w:ind w:right="92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424660">
        <w:rPr>
          <w:sz w:val="26"/>
          <w:szCs w:val="26"/>
        </w:rPr>
        <w:t>Текстовые документы и материалы к формированию годового отчета о деятельности Контрольно-счетного органа оформляются в соответствии со следующими требованиями:</w:t>
      </w:r>
    </w:p>
    <w:p w:rsidR="00484F6E" w:rsidRPr="00E37491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  <w:lang w:val="en-US"/>
        </w:rPr>
      </w:pPr>
      <w:r w:rsidRPr="00424660">
        <w:rPr>
          <w:sz w:val="26"/>
          <w:szCs w:val="26"/>
        </w:rPr>
        <w:t>шрифт</w:t>
      </w:r>
      <w:r w:rsidRPr="00E37491">
        <w:rPr>
          <w:sz w:val="26"/>
          <w:szCs w:val="26"/>
          <w:lang w:val="en-US"/>
        </w:rPr>
        <w:t xml:space="preserve"> – </w:t>
      </w:r>
      <w:r w:rsidRPr="00424660">
        <w:rPr>
          <w:sz w:val="26"/>
          <w:szCs w:val="26"/>
          <w:lang w:val="en-US"/>
        </w:rPr>
        <w:t>Times</w:t>
      </w:r>
      <w:r w:rsidRPr="00E37491">
        <w:rPr>
          <w:sz w:val="26"/>
          <w:szCs w:val="26"/>
          <w:lang w:val="en-US"/>
        </w:rPr>
        <w:t xml:space="preserve"> </w:t>
      </w:r>
      <w:r w:rsidRPr="00424660">
        <w:rPr>
          <w:sz w:val="26"/>
          <w:szCs w:val="26"/>
          <w:lang w:val="en-US"/>
        </w:rPr>
        <w:t>New</w:t>
      </w:r>
      <w:r w:rsidRPr="00E37491">
        <w:rPr>
          <w:sz w:val="26"/>
          <w:szCs w:val="26"/>
          <w:lang w:val="en-US"/>
        </w:rPr>
        <w:t xml:space="preserve"> </w:t>
      </w:r>
      <w:r w:rsidRPr="00424660">
        <w:rPr>
          <w:sz w:val="26"/>
          <w:szCs w:val="26"/>
          <w:lang w:val="en-US"/>
        </w:rPr>
        <w:t>Roman</w:t>
      </w:r>
      <w:r w:rsidRPr="00E37491">
        <w:rPr>
          <w:sz w:val="26"/>
          <w:szCs w:val="26"/>
          <w:lang w:val="en-US"/>
        </w:rPr>
        <w:t>;</w:t>
      </w:r>
    </w:p>
    <w:p w:rsidR="00484F6E" w:rsidRPr="00E37491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  <w:lang w:val="en-US"/>
        </w:rPr>
      </w:pPr>
      <w:r w:rsidRPr="00424660">
        <w:rPr>
          <w:sz w:val="26"/>
          <w:szCs w:val="26"/>
        </w:rPr>
        <w:t>размер</w:t>
      </w:r>
      <w:r w:rsidRPr="00E37491">
        <w:rPr>
          <w:sz w:val="26"/>
          <w:szCs w:val="26"/>
          <w:lang w:val="en-US"/>
        </w:rPr>
        <w:t xml:space="preserve"> </w:t>
      </w:r>
      <w:r w:rsidRPr="00424660">
        <w:rPr>
          <w:sz w:val="26"/>
          <w:szCs w:val="26"/>
        </w:rPr>
        <w:t>шрифта</w:t>
      </w:r>
      <w:r w:rsidRPr="00E37491">
        <w:rPr>
          <w:sz w:val="26"/>
          <w:szCs w:val="26"/>
          <w:lang w:val="en-US"/>
        </w:rPr>
        <w:t xml:space="preserve"> – 14;</w:t>
      </w:r>
    </w:p>
    <w:p w:rsidR="00484F6E" w:rsidRPr="00424660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</w:rPr>
      </w:pPr>
      <w:r w:rsidRPr="00424660">
        <w:rPr>
          <w:sz w:val="26"/>
          <w:szCs w:val="26"/>
        </w:rPr>
        <w:t>межстрочный интервал – 1,5;</w:t>
      </w:r>
    </w:p>
    <w:p w:rsidR="00484F6E" w:rsidRPr="00424660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</w:rPr>
      </w:pPr>
      <w:r w:rsidRPr="00424660">
        <w:rPr>
          <w:sz w:val="26"/>
          <w:szCs w:val="26"/>
        </w:rPr>
        <w:t>поля страницы: левое – 3,0 см., верхнее и нижнее – по 2,0 см., правое – 1,0 см.;</w:t>
      </w:r>
    </w:p>
    <w:p w:rsidR="00484F6E" w:rsidRPr="00424660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</w:rPr>
      </w:pPr>
      <w:r w:rsidRPr="00424660">
        <w:rPr>
          <w:sz w:val="26"/>
          <w:szCs w:val="26"/>
        </w:rPr>
        <w:t xml:space="preserve">абзацный отступ – </w:t>
      </w:r>
      <w:smartTag w:uri="urn:schemas-microsoft-com:office:smarttags" w:element="metricconverter">
        <w:smartTagPr>
          <w:attr w:name="ProductID" w:val="1,0 см"/>
        </w:smartTagPr>
        <w:r w:rsidRPr="00424660">
          <w:rPr>
            <w:sz w:val="26"/>
            <w:szCs w:val="26"/>
          </w:rPr>
          <w:t>1,0 см</w:t>
        </w:r>
      </w:smartTag>
      <w:r w:rsidRPr="00424660">
        <w:rPr>
          <w:sz w:val="26"/>
          <w:szCs w:val="26"/>
        </w:rPr>
        <w:t>.;</w:t>
      </w:r>
    </w:p>
    <w:p w:rsidR="00484F6E" w:rsidRPr="00424660" w:rsidRDefault="00484F6E" w:rsidP="00484F6E">
      <w:pPr>
        <w:pStyle w:val="2"/>
        <w:widowControl w:val="0"/>
        <w:spacing w:before="120" w:line="240" w:lineRule="auto"/>
        <w:ind w:right="92"/>
        <w:rPr>
          <w:sz w:val="26"/>
          <w:szCs w:val="26"/>
        </w:rPr>
      </w:pPr>
      <w:r w:rsidRPr="00424660">
        <w:rPr>
          <w:sz w:val="26"/>
          <w:szCs w:val="26"/>
        </w:rPr>
        <w:t>без переносов слов;</w:t>
      </w:r>
    </w:p>
    <w:p w:rsidR="002767D5" w:rsidRDefault="00484F6E" w:rsidP="00484F6E">
      <w:r w:rsidRPr="00424660">
        <w:rPr>
          <w:sz w:val="26"/>
          <w:szCs w:val="26"/>
        </w:rPr>
        <w:t>нумерация страниц – по центру сверху, на первой странице номер не указывается.</w:t>
      </w:r>
    </w:p>
    <w:sectPr w:rsidR="002767D5" w:rsidSect="0027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6E"/>
    <w:rsid w:val="00002909"/>
    <w:rsid w:val="002767D5"/>
    <w:rsid w:val="0048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F6E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484F6E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484F6E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6E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F6E"/>
    <w:rPr>
      <w:rFonts w:eastAsia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4F6E"/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84F6E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4F6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484F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F6E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84F6E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4F6E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484F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4F6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911FA37177B37D4563AB1C38EE0D0E7735E492CAE156E89BA8A5F6F7H9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Company>Минфин Чувашии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2015-08-26T11:01:00Z</dcterms:created>
  <dcterms:modified xsi:type="dcterms:W3CDTF">2015-08-26T11:02:00Z</dcterms:modified>
</cp:coreProperties>
</file>