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11">
        <w:rPr>
          <w:rFonts w:ascii="Times New Roman" w:hAnsi="Times New Roman" w:cs="Times New Roman"/>
          <w:b/>
          <w:sz w:val="24"/>
          <w:szCs w:val="24"/>
        </w:rPr>
        <w:t>Чукальского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4436D2">
        <w:rPr>
          <w:rFonts w:ascii="Times New Roman" w:hAnsi="Times New Roman" w:cs="Times New Roman"/>
          <w:sz w:val="28"/>
          <w:szCs w:val="28"/>
        </w:rPr>
        <w:t>18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r w:rsidR="00DF5E11">
        <w:rPr>
          <w:rFonts w:ascii="Times New Roman" w:hAnsi="Times New Roman" w:cs="Times New Roman"/>
          <w:sz w:val="24"/>
          <w:szCs w:val="24"/>
        </w:rPr>
        <w:t>Чукальском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r w:rsidR="00DF5E11">
        <w:rPr>
          <w:rFonts w:ascii="Times New Roman" w:hAnsi="Times New Roman" w:cs="Times New Roman"/>
          <w:sz w:val="24"/>
          <w:szCs w:val="24"/>
        </w:rPr>
        <w:t>Чукальском</w:t>
      </w:r>
      <w:r>
        <w:rPr>
          <w:rFonts w:ascii="Times New Roman" w:hAnsi="Times New Roman" w:cs="Times New Roman"/>
          <w:sz w:val="24"/>
          <w:szCs w:val="24"/>
        </w:rPr>
        <w:t xml:space="preserve">у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F5E11">
        <w:rPr>
          <w:rFonts w:ascii="Times New Roman" w:hAnsi="Times New Roman" w:cs="Times New Roman"/>
          <w:sz w:val="24"/>
          <w:szCs w:val="24"/>
        </w:rPr>
        <w:t xml:space="preserve"> </w:t>
      </w:r>
      <w:r w:rsidR="00D614FC">
        <w:rPr>
          <w:rFonts w:ascii="Times New Roman" w:hAnsi="Times New Roman" w:cs="Times New Roman"/>
          <w:sz w:val="24"/>
          <w:szCs w:val="24"/>
        </w:rPr>
        <w:t>4291</w:t>
      </w:r>
      <w:r w:rsidR="00306AE2">
        <w:rPr>
          <w:rFonts w:ascii="Times New Roman" w:hAnsi="Times New Roman" w:cs="Times New Roman"/>
          <w:sz w:val="24"/>
          <w:szCs w:val="24"/>
        </w:rPr>
        <w:t>8</w:t>
      </w:r>
      <w:r w:rsidR="00DF5E11">
        <w:rPr>
          <w:rFonts w:ascii="Times New Roman" w:hAnsi="Times New Roman" w:cs="Times New Roman"/>
          <w:sz w:val="24"/>
          <w:szCs w:val="24"/>
        </w:rPr>
        <w:t>5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с. </w:t>
      </w:r>
      <w:r w:rsidR="00DF5E11">
        <w:rPr>
          <w:rFonts w:ascii="Times New Roman" w:hAnsi="Times New Roman" w:cs="Times New Roman"/>
          <w:sz w:val="24"/>
          <w:szCs w:val="24"/>
        </w:rPr>
        <w:t>Новое Чукалы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F5E11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>ом</w:t>
      </w:r>
      <w:r w:rsidR="00DF5E1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DF5E11">
        <w:rPr>
          <w:rFonts w:ascii="Times New Roman" w:hAnsi="Times New Roman" w:cs="Times New Roman"/>
          <w:sz w:val="24"/>
          <w:szCs w:val="24"/>
        </w:rPr>
        <w:t>422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0E3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406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617358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657576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0503176 «Сведения о недостачах и хищениях денежных средств и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B342F2">
        <w:rPr>
          <w:rFonts w:ascii="Times New Roman" w:hAnsi="Times New Roman" w:cs="Times New Roman"/>
          <w:b/>
          <w:sz w:val="24"/>
          <w:szCs w:val="24"/>
        </w:rPr>
        <w:t>1759,3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B342F2">
        <w:rPr>
          <w:rFonts w:ascii="Times New Roman" w:hAnsi="Times New Roman" w:cs="Times New Roman"/>
          <w:sz w:val="24"/>
          <w:szCs w:val="24"/>
        </w:rPr>
        <w:t>760,8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B342F2">
        <w:rPr>
          <w:rFonts w:ascii="Times New Roman" w:hAnsi="Times New Roman" w:cs="Times New Roman"/>
          <w:sz w:val="24"/>
          <w:szCs w:val="24"/>
        </w:rPr>
        <w:t>5,0</w:t>
      </w:r>
      <w:r w:rsidR="0072418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9D4834">
        <w:rPr>
          <w:rFonts w:ascii="Times New Roman" w:hAnsi="Times New Roman" w:cs="Times New Roman"/>
          <w:sz w:val="24"/>
          <w:szCs w:val="24"/>
        </w:rPr>
        <w:t>57,9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D4834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9D4834">
        <w:rPr>
          <w:rFonts w:ascii="Times New Roman" w:hAnsi="Times New Roman" w:cs="Times New Roman"/>
          <w:sz w:val="24"/>
          <w:szCs w:val="24"/>
        </w:rPr>
        <w:t>361,8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</w:t>
      </w:r>
      <w:r w:rsidR="009D4834">
        <w:rPr>
          <w:rFonts w:ascii="Times New Roman" w:hAnsi="Times New Roman" w:cs="Times New Roman"/>
          <w:sz w:val="24"/>
          <w:szCs w:val="24"/>
        </w:rPr>
        <w:t>67,1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9D4834">
        <w:rPr>
          <w:rFonts w:ascii="Times New Roman" w:hAnsi="Times New Roman" w:cs="Times New Roman"/>
          <w:sz w:val="24"/>
          <w:szCs w:val="24"/>
        </w:rPr>
        <w:t>88,6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9D4834">
        <w:rPr>
          <w:rFonts w:ascii="Times New Roman" w:hAnsi="Times New Roman" w:cs="Times New Roman"/>
          <w:sz w:val="24"/>
          <w:szCs w:val="24"/>
        </w:rPr>
        <w:t>415,2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9D4834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1360AE">
        <w:rPr>
          <w:rFonts w:ascii="Times New Roman" w:hAnsi="Times New Roman" w:cs="Times New Roman"/>
          <w:sz w:val="24"/>
          <w:szCs w:val="24"/>
        </w:rPr>
        <w:t>201,2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A565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E712AC">
        <w:rPr>
          <w:rFonts w:ascii="Times New Roman" w:hAnsi="Times New Roman" w:cs="Times New Roman"/>
          <w:sz w:val="24"/>
          <w:szCs w:val="24"/>
        </w:rPr>
        <w:t>583,2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E712AC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E712AC">
        <w:rPr>
          <w:rFonts w:ascii="Times New Roman" w:hAnsi="Times New Roman" w:cs="Times New Roman"/>
          <w:sz w:val="24"/>
          <w:szCs w:val="24"/>
        </w:rPr>
        <w:t>24,8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A14483">
        <w:rPr>
          <w:rFonts w:ascii="Times New Roman" w:hAnsi="Times New Roman" w:cs="Times New Roman"/>
          <w:sz w:val="24"/>
          <w:szCs w:val="24"/>
        </w:rPr>
        <w:t>2166,1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5D7442">
        <w:rPr>
          <w:rFonts w:ascii="Times New Roman" w:hAnsi="Times New Roman" w:cs="Times New Roman"/>
          <w:sz w:val="24"/>
          <w:szCs w:val="24"/>
        </w:rPr>
        <w:t>99,1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5D7442">
        <w:rPr>
          <w:rFonts w:ascii="Times New Roman" w:hAnsi="Times New Roman" w:cs="Times New Roman"/>
          <w:sz w:val="24"/>
          <w:szCs w:val="24"/>
        </w:rPr>
        <w:t>2166,1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5D7442">
        <w:rPr>
          <w:rFonts w:ascii="Times New Roman" w:hAnsi="Times New Roman" w:cs="Times New Roman"/>
          <w:sz w:val="24"/>
          <w:szCs w:val="24"/>
        </w:rPr>
        <w:t>2147,1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5D7442">
        <w:rPr>
          <w:rFonts w:ascii="Times New Roman" w:hAnsi="Times New Roman" w:cs="Times New Roman"/>
          <w:sz w:val="24"/>
          <w:szCs w:val="24"/>
        </w:rPr>
        <w:t>19,0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B9582C">
        <w:rPr>
          <w:rFonts w:ascii="Times New Roman" w:hAnsi="Times New Roman" w:cs="Times New Roman"/>
          <w:sz w:val="24"/>
          <w:szCs w:val="24"/>
        </w:rPr>
        <w:t>2147,1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7576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000C5F">
        <w:rPr>
          <w:rFonts w:ascii="Times New Roman" w:hAnsi="Times New Roman" w:cs="Times New Roman"/>
          <w:sz w:val="24"/>
          <w:szCs w:val="24"/>
        </w:rPr>
        <w:t>0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B958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B9582C">
        <w:rPr>
          <w:rFonts w:ascii="Times New Roman" w:hAnsi="Times New Roman" w:cs="Times New Roman"/>
          <w:sz w:val="24"/>
          <w:szCs w:val="24"/>
        </w:rPr>
        <w:t>2120,6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B9582C">
        <w:rPr>
          <w:rFonts w:ascii="Times New Roman" w:hAnsi="Times New Roman" w:cs="Times New Roman"/>
          <w:sz w:val="24"/>
          <w:szCs w:val="24"/>
        </w:rPr>
        <w:t>99,1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B9582C">
        <w:rPr>
          <w:rFonts w:ascii="Times New Roman" w:hAnsi="Times New Roman" w:cs="Times New Roman"/>
          <w:sz w:val="24"/>
          <w:szCs w:val="24"/>
        </w:rPr>
        <w:t>2147,1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6575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657576"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E940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696"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B9582C">
        <w:rPr>
          <w:rFonts w:ascii="Times New Roman" w:hAnsi="Times New Roman" w:cs="Times New Roman"/>
          <w:sz w:val="24"/>
          <w:szCs w:val="24"/>
        </w:rPr>
        <w:t>19,0</w:t>
      </w:r>
      <w:r w:rsidR="003D0696"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 w:rsidR="003D0696"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555340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55340">
        <w:rPr>
          <w:rFonts w:ascii="Times New Roman" w:hAnsi="Times New Roman" w:cs="Times New Roman"/>
          <w:sz w:val="24"/>
          <w:szCs w:val="24"/>
        </w:rPr>
        <w:t>41273514,73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55340">
        <w:rPr>
          <w:rFonts w:ascii="Times New Roman" w:hAnsi="Times New Roman" w:cs="Times New Roman"/>
          <w:sz w:val="24"/>
          <w:szCs w:val="24"/>
        </w:rPr>
        <w:t>41273514,73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55340">
        <w:rPr>
          <w:rFonts w:ascii="Times New Roman" w:hAnsi="Times New Roman" w:cs="Times New Roman"/>
          <w:sz w:val="24"/>
          <w:szCs w:val="24"/>
        </w:rPr>
        <w:t>осталась без изменений</w:t>
      </w:r>
      <w:r w:rsidR="005E1B66">
        <w:rPr>
          <w:rFonts w:ascii="Times New Roman" w:hAnsi="Times New Roman" w:cs="Times New Roman"/>
          <w:sz w:val="24"/>
          <w:szCs w:val="24"/>
        </w:rPr>
        <w:t>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</w:t>
      </w:r>
    </w:p>
    <w:p w:rsidR="002D5CEF" w:rsidRDefault="0071342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5340">
        <w:rPr>
          <w:rFonts w:ascii="Times New Roman" w:hAnsi="Times New Roman" w:cs="Times New Roman"/>
          <w:sz w:val="24"/>
          <w:szCs w:val="24"/>
        </w:rPr>
        <w:t>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555340">
        <w:rPr>
          <w:rFonts w:ascii="Times New Roman" w:hAnsi="Times New Roman" w:cs="Times New Roman"/>
          <w:sz w:val="24"/>
          <w:szCs w:val="24"/>
        </w:rPr>
        <w:t xml:space="preserve">3890 </w:t>
      </w:r>
      <w:r w:rsidR="007F5ED2">
        <w:rPr>
          <w:rFonts w:ascii="Times New Roman" w:hAnsi="Times New Roman" w:cs="Times New Roman"/>
          <w:sz w:val="24"/>
          <w:szCs w:val="24"/>
        </w:rPr>
        <w:t>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5340">
        <w:rPr>
          <w:rFonts w:ascii="Times New Roman" w:hAnsi="Times New Roman" w:cs="Times New Roman"/>
          <w:sz w:val="24"/>
          <w:szCs w:val="24"/>
        </w:rPr>
        <w:t xml:space="preserve">2700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DD304C">
        <w:rPr>
          <w:rFonts w:ascii="Times New Roman" w:hAnsi="Times New Roman" w:cs="Times New Roman"/>
          <w:sz w:val="24"/>
          <w:szCs w:val="24"/>
        </w:rPr>
        <w:t>2700</w:t>
      </w:r>
      <w:r w:rsidR="00675AA2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>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8C164A">
        <w:rPr>
          <w:rFonts w:ascii="Times New Roman" w:hAnsi="Times New Roman" w:cs="Times New Roman"/>
          <w:sz w:val="24"/>
          <w:szCs w:val="24"/>
        </w:rPr>
        <w:t>34561,75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C164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8C164A">
        <w:rPr>
          <w:rFonts w:ascii="Times New Roman" w:hAnsi="Times New Roman" w:cs="Times New Roman"/>
          <w:sz w:val="24"/>
          <w:szCs w:val="24"/>
        </w:rPr>
        <w:t>17027,45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C164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8C164A">
        <w:rPr>
          <w:rFonts w:ascii="Times New Roman" w:hAnsi="Times New Roman" w:cs="Times New Roman"/>
          <w:sz w:val="24"/>
          <w:szCs w:val="24"/>
        </w:rPr>
        <w:t>2194,00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5D56">
        <w:rPr>
          <w:rFonts w:ascii="Times New Roman" w:hAnsi="Times New Roman" w:cs="Times New Roman"/>
          <w:sz w:val="24"/>
          <w:szCs w:val="24"/>
        </w:rPr>
        <w:t>ей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8C164A">
        <w:rPr>
          <w:rFonts w:ascii="Times New Roman" w:hAnsi="Times New Roman" w:cs="Times New Roman"/>
          <w:sz w:val="24"/>
          <w:szCs w:val="24"/>
        </w:rPr>
        <w:t>19728,30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C164A">
        <w:rPr>
          <w:rFonts w:ascii="Times New Roman" w:hAnsi="Times New Roman" w:cs="Times New Roman"/>
          <w:sz w:val="24"/>
          <w:szCs w:val="24"/>
        </w:rPr>
        <w:t>3,6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8C164A">
        <w:rPr>
          <w:rFonts w:ascii="Times New Roman" w:hAnsi="Times New Roman" w:cs="Times New Roman"/>
          <w:sz w:val="24"/>
          <w:szCs w:val="24"/>
        </w:rPr>
        <w:t>3,4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4A">
        <w:rPr>
          <w:rFonts w:ascii="Times New Roman" w:hAnsi="Times New Roman" w:cs="Times New Roman"/>
          <w:sz w:val="24"/>
          <w:szCs w:val="24"/>
        </w:rPr>
        <w:t>4,3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1ED5">
        <w:rPr>
          <w:rFonts w:ascii="Times New Roman" w:hAnsi="Times New Roman" w:cs="Times New Roman"/>
          <w:sz w:val="24"/>
          <w:szCs w:val="24"/>
        </w:rPr>
        <w:t xml:space="preserve"> и за </w:t>
      </w:r>
      <w:r w:rsidR="008C164A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C81ED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164A">
        <w:rPr>
          <w:rFonts w:ascii="Times New Roman" w:hAnsi="Times New Roman" w:cs="Times New Roman"/>
          <w:sz w:val="24"/>
          <w:szCs w:val="24"/>
        </w:rPr>
        <w:t>0,2</w:t>
      </w:r>
      <w:r w:rsidR="00C81E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66BC" w:rsidRPr="000C564D" w:rsidRDefault="008C16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ф.0503169 н</w:t>
      </w:r>
      <w:r w:rsidR="00022A95">
        <w:rPr>
          <w:rFonts w:ascii="Times New Roman" w:hAnsi="Times New Roman" w:cs="Times New Roman"/>
          <w:sz w:val="24"/>
          <w:szCs w:val="24"/>
        </w:rPr>
        <w:t xml:space="preserve">еэффективное использование бюджетных средств (отвлечение бюджетных средств в </w:t>
      </w:r>
      <w:r>
        <w:rPr>
          <w:rFonts w:ascii="Times New Roman" w:hAnsi="Times New Roman" w:cs="Times New Roman"/>
          <w:sz w:val="24"/>
          <w:szCs w:val="24"/>
        </w:rPr>
        <w:t xml:space="preserve">просроченную </w:t>
      </w:r>
      <w:r w:rsidR="00022A95">
        <w:rPr>
          <w:rFonts w:ascii="Times New Roman" w:hAnsi="Times New Roman" w:cs="Times New Roman"/>
          <w:sz w:val="24"/>
          <w:szCs w:val="24"/>
        </w:rPr>
        <w:t>дебиторскую задолженность</w:t>
      </w:r>
      <w:r w:rsidR="00304C8D">
        <w:rPr>
          <w:rFonts w:ascii="Times New Roman" w:hAnsi="Times New Roman" w:cs="Times New Roman"/>
          <w:sz w:val="24"/>
          <w:szCs w:val="24"/>
        </w:rPr>
        <w:t>) по расчетам с ОАО «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="00304C8D">
        <w:rPr>
          <w:rFonts w:ascii="Times New Roman" w:hAnsi="Times New Roman" w:cs="Times New Roman"/>
          <w:sz w:val="24"/>
          <w:szCs w:val="24"/>
        </w:rPr>
        <w:t>» на 01.01.2015 года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4281,64 рубль.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lastRenderedPageBreak/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8C164A">
        <w:rPr>
          <w:rFonts w:ascii="Times New Roman" w:hAnsi="Times New Roman" w:cs="Times New Roman"/>
          <w:sz w:val="24"/>
          <w:szCs w:val="24"/>
        </w:rPr>
        <w:t>152,9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</w:t>
      </w:r>
      <w:r w:rsidR="008C164A">
        <w:rPr>
          <w:rFonts w:ascii="Times New Roman" w:hAnsi="Times New Roman" w:cs="Times New Roman"/>
          <w:sz w:val="24"/>
          <w:szCs w:val="24"/>
        </w:rPr>
        <w:t>188,5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8C164A">
        <w:rPr>
          <w:rFonts w:ascii="Times New Roman" w:hAnsi="Times New Roman" w:cs="Times New Roman"/>
          <w:sz w:val="24"/>
          <w:szCs w:val="24"/>
        </w:rPr>
        <w:t>снизилась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8C164A">
        <w:rPr>
          <w:rFonts w:ascii="Times New Roman" w:hAnsi="Times New Roman" w:cs="Times New Roman"/>
          <w:sz w:val="24"/>
          <w:szCs w:val="24"/>
        </w:rPr>
        <w:t>35,6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8C164A">
        <w:rPr>
          <w:rFonts w:ascii="Times New Roman" w:hAnsi="Times New Roman" w:cs="Times New Roman"/>
          <w:sz w:val="24"/>
          <w:szCs w:val="24"/>
        </w:rPr>
        <w:t>132,8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1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C164A">
        <w:rPr>
          <w:rFonts w:ascii="Times New Roman" w:hAnsi="Times New Roman" w:cs="Times New Roman"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164A">
        <w:rPr>
          <w:rFonts w:ascii="Times New Roman" w:hAnsi="Times New Roman" w:cs="Times New Roman"/>
          <w:sz w:val="24"/>
          <w:szCs w:val="24"/>
        </w:rPr>
        <w:t xml:space="preserve"> и по </w:t>
      </w:r>
      <w:r w:rsidR="00547FAC">
        <w:rPr>
          <w:rFonts w:ascii="Times New Roman" w:hAnsi="Times New Roman" w:cs="Times New Roman"/>
          <w:sz w:val="24"/>
          <w:szCs w:val="24"/>
        </w:rPr>
        <w:t>расчетам с прочими кредиторами в сумме 0,5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r w:rsidR="00DF5E11">
        <w:rPr>
          <w:rFonts w:ascii="Times New Roman" w:hAnsi="Times New Roman" w:cs="Times New Roman"/>
        </w:rPr>
        <w:t>Чукальского</w:t>
      </w:r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DF5E11">
        <w:rPr>
          <w:rFonts w:ascii="Times New Roman" w:hAnsi="Times New Roman" w:cs="Times New Roman"/>
          <w:b/>
          <w:sz w:val="24"/>
          <w:szCs w:val="24"/>
        </w:rPr>
        <w:t>Чукальского</w:t>
      </w:r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r w:rsidR="00DF5E11">
        <w:rPr>
          <w:rFonts w:ascii="Times New Roman" w:hAnsi="Times New Roman" w:cs="Times New Roman"/>
          <w:sz w:val="24"/>
          <w:szCs w:val="24"/>
        </w:rPr>
        <w:t>Чукальском</w:t>
      </w:r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DF5E11">
        <w:rPr>
          <w:rFonts w:ascii="Times New Roman" w:hAnsi="Times New Roman" w:cs="Times New Roman"/>
          <w:sz w:val="24"/>
          <w:szCs w:val="24"/>
        </w:rPr>
        <w:t>Чукальском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AC3DE5">
        <w:rPr>
          <w:rFonts w:ascii="Times New Roman" w:hAnsi="Times New Roman" w:cs="Times New Roman"/>
          <w:sz w:val="24"/>
          <w:szCs w:val="24"/>
        </w:rPr>
        <w:t>2166,1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77BE" w:rsidRPr="00657576" w:rsidRDefault="00A428E5" w:rsidP="00E677B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</w:t>
      </w:r>
      <w:r w:rsidR="00E677BE" w:rsidRPr="00657576">
        <w:rPr>
          <w:rFonts w:ascii="Times New Roman" w:hAnsi="Times New Roman" w:cs="Times New Roman"/>
          <w:sz w:val="24"/>
          <w:szCs w:val="24"/>
        </w:rPr>
        <w:t>А</w:t>
      </w:r>
      <w:r w:rsidR="00CF49D2" w:rsidRPr="00657576">
        <w:rPr>
          <w:rFonts w:ascii="Times New Roman" w:hAnsi="Times New Roman" w:cs="Times New Roman"/>
        </w:rPr>
        <w:t xml:space="preserve">дминистрацией </w:t>
      </w:r>
      <w:r w:rsidR="00DF5E11">
        <w:rPr>
          <w:rFonts w:ascii="Times New Roman" w:hAnsi="Times New Roman" w:cs="Times New Roman"/>
        </w:rPr>
        <w:t>Чукальского</w:t>
      </w:r>
      <w:r w:rsidR="00CF49D2" w:rsidRPr="00657576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средств в сумме </w:t>
      </w:r>
      <w:r w:rsidR="00AC3DE5">
        <w:rPr>
          <w:rFonts w:ascii="Times New Roman" w:hAnsi="Times New Roman" w:cs="Times New Roman"/>
        </w:rPr>
        <w:t>4281,64</w:t>
      </w:r>
      <w:r w:rsidR="006C310F">
        <w:rPr>
          <w:rFonts w:ascii="Times New Roman" w:hAnsi="Times New Roman" w:cs="Times New Roman"/>
        </w:rPr>
        <w:t xml:space="preserve"> рубл</w:t>
      </w:r>
      <w:r w:rsidR="00AC3DE5">
        <w:rPr>
          <w:rFonts w:ascii="Times New Roman" w:hAnsi="Times New Roman" w:cs="Times New Roman"/>
        </w:rPr>
        <w:t>ь</w:t>
      </w:r>
      <w:r w:rsidR="00CF49D2" w:rsidRPr="00657576">
        <w:rPr>
          <w:rFonts w:ascii="Times New Roman" w:hAnsi="Times New Roman" w:cs="Times New Roman"/>
        </w:rPr>
        <w:t xml:space="preserve">  (отвлечение бюджетных средств в дебиторскую задолженность)</w:t>
      </w:r>
      <w:r w:rsidR="00657576" w:rsidRPr="00657576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F5E11">
        <w:rPr>
          <w:rFonts w:ascii="Times New Roman" w:hAnsi="Times New Roman" w:cs="Times New Roman"/>
          <w:sz w:val="24"/>
          <w:szCs w:val="24"/>
        </w:rPr>
        <w:t>Чукальского</w:t>
      </w:r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B93E8F" w:rsidRDefault="00CE15CB" w:rsidP="00B93E8F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</w:t>
      </w:r>
      <w:r w:rsidR="00307A64" w:rsidRPr="00CE15CB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0F63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3B67"/>
    <w:rsid w:val="000E5F8C"/>
    <w:rsid w:val="000E72E3"/>
    <w:rsid w:val="000F07A2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360AE"/>
    <w:rsid w:val="00145CDE"/>
    <w:rsid w:val="001466CB"/>
    <w:rsid w:val="00151C4B"/>
    <w:rsid w:val="00151E11"/>
    <w:rsid w:val="0015779E"/>
    <w:rsid w:val="00160589"/>
    <w:rsid w:val="001670C6"/>
    <w:rsid w:val="00180CC6"/>
    <w:rsid w:val="00180CF6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36D2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40466"/>
    <w:rsid w:val="00543807"/>
    <w:rsid w:val="00547FAC"/>
    <w:rsid w:val="00547FCE"/>
    <w:rsid w:val="00554272"/>
    <w:rsid w:val="00555340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C58BC"/>
    <w:rsid w:val="005D2188"/>
    <w:rsid w:val="005D7442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A0532"/>
    <w:rsid w:val="006A166A"/>
    <w:rsid w:val="006A1C33"/>
    <w:rsid w:val="006B4E74"/>
    <w:rsid w:val="006B6A71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27F2E"/>
    <w:rsid w:val="00832AD5"/>
    <w:rsid w:val="008441AE"/>
    <w:rsid w:val="00845890"/>
    <w:rsid w:val="0085068D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164A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2652"/>
    <w:rsid w:val="009A3D2E"/>
    <w:rsid w:val="009A511C"/>
    <w:rsid w:val="009B31B0"/>
    <w:rsid w:val="009D35AB"/>
    <w:rsid w:val="009D4834"/>
    <w:rsid w:val="009E0B0B"/>
    <w:rsid w:val="009E3F7F"/>
    <w:rsid w:val="009E419B"/>
    <w:rsid w:val="009E4644"/>
    <w:rsid w:val="009F12DA"/>
    <w:rsid w:val="00A01680"/>
    <w:rsid w:val="00A0590E"/>
    <w:rsid w:val="00A11499"/>
    <w:rsid w:val="00A14483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3DE5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342F2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82C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B12DC"/>
    <w:rsid w:val="00DB62CA"/>
    <w:rsid w:val="00DC0594"/>
    <w:rsid w:val="00DC173A"/>
    <w:rsid w:val="00DC7E33"/>
    <w:rsid w:val="00DD304C"/>
    <w:rsid w:val="00DD49E5"/>
    <w:rsid w:val="00DD6C72"/>
    <w:rsid w:val="00DD76C2"/>
    <w:rsid w:val="00DD7A75"/>
    <w:rsid w:val="00DE002D"/>
    <w:rsid w:val="00DE2384"/>
    <w:rsid w:val="00DE5660"/>
    <w:rsid w:val="00DE7B2C"/>
    <w:rsid w:val="00DF424D"/>
    <w:rsid w:val="00DF5E11"/>
    <w:rsid w:val="00E07C71"/>
    <w:rsid w:val="00E1106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712AC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FDEA-2441-42B7-855B-A1FA5CF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2015-09-03T11:21:00Z</dcterms:created>
  <dcterms:modified xsi:type="dcterms:W3CDTF">2015-09-03T11:21:00Z</dcterms:modified>
</cp:coreProperties>
</file>