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486" w:type="dxa"/>
      </w:tblPr>
      <w:tblGrid>
        <w:gridCol w:w="4965"/>
        <w:gridCol w:w="4521"/>
      </w:tblGrid>
      <w:tr>
        <w:trPr>
          <w:trHeight w:val="3828" w:hRule="atLeast"/>
        </w:trPr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201641" protected="1"/>
          </w:tcPr>
          <w:p>
            <w:pPr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201641" protected="1"/>
          </w:tcPr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 жилищно-коммунального хозяйства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Чувашской Республики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both"/>
              <w:rPr>
                <w:szCs w:val="26"/>
                <w:u w:color="auto" w:val="single"/>
              </w:rPr>
            </w:pPr>
            <w:r>
              <w:rPr>
                <w:szCs w:val="26"/>
              </w:rPr>
              <w:t>____________          В.Ю. Михайлов</w:t>
            </w:r>
            <w:r>
              <w:rPr>
                <w:szCs w:val="26"/>
                <w:u w:color="auto" w:val="single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7 августа 2017 г.</w:t>
            </w:r>
          </w:p>
        </w:tc>
      </w:tr>
    </w:tbl>
    <w:p>
      <w:pPr>
        <w:spacing w:line="233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auto"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 w:line="233" w:lineRule="auto"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</w:p>
    <w:p>
      <w:pPr>
        <w:pStyle w:val="para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>
      <w:pPr>
        <w:pStyle w:val="para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>
      <w:pPr>
        <w:spacing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</w:r>
    </w:p>
    <w:p>
      <w:pPr>
        <w:spacing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Г</w:t>
      </w:r>
      <w:hyperlink r:id="rId8" w:history="1">
        <w:r>
          <w:rPr>
            <w:rFonts w:eastAsia="Times New Roman"/>
            <w:b/>
            <w:szCs w:val="26"/>
          </w:rPr>
          <w:t>лавного специалиста-эксперта</w:t>
        </w:r>
      </w:hyperlink>
    </w:p>
    <w:p>
      <w:pPr>
        <w:pStyle w:val="para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>
          <w:rPr>
            <w:rFonts w:ascii="Times New Roman" w:hAnsi="Times New Roman" w:cs="Times New Roman"/>
            <w:b/>
            <w:sz w:val="26"/>
            <w:szCs w:val="26"/>
          </w:rPr>
          <w:t xml:space="preserve"> отдела экономического анализа и финансового контроля</w:t>
        </w:r>
      </w:hyperlink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Республики главного специалиста-эксперта отдела экономического анализа и финансового контроля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экономического анализа и финансового контроля (далее - отдел) в соответствии с Положением об отделе.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 xml:space="preserve"> 3-3-4-19.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</w:t>
      </w:r>
      <w:r>
        <w:rPr>
          <w:rFonts w:eastAsia="Times New Roman"/>
          <w:szCs w:val="26"/>
        </w:rPr>
        <w:t xml:space="preserve"> </w:t>
      </w:r>
      <w:r>
        <w:rPr>
          <w:szCs w:val="26"/>
        </w:rPr>
        <w:t>главного специалиста-эксперта его обязанности распределяются начальником отдела между гражданскими служащими отдела.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>
      <w:pPr>
        <w:ind w:firstLine="709"/>
        <w:rPr>
          <w:szCs w:val="26"/>
        </w:rPr>
      </w:pPr>
      <w:r>
        <w:rPr>
          <w:szCs w:val="26"/>
        </w:rPr>
        <w:t>2.1. Базовые квалификационные требования:</w:t>
      </w:r>
    </w:p>
    <w:p>
      <w:pPr>
        <w:ind w:firstLine="720"/>
        <w:spacing/>
        <w:jc w:val="both"/>
        <w:tabs>
          <w:tab w:val="left" w:pos="540" w:leader="none"/>
        </w:tabs>
        <w:rPr>
          <w:szCs w:val="26"/>
        </w:rPr>
      </w:pPr>
      <w:r>
        <w:rPr>
          <w:szCs w:val="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>
      <w:pPr>
        <w:ind w:firstLine="709"/>
        <w:rPr>
          <w:szCs w:val="26"/>
        </w:rPr>
      </w:pPr>
      <w:r>
        <w:rPr>
          <w:szCs w:val="26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2) знаниями основ: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знаниями и умениями в области информационно-коммуникационных технологий.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Общие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мыслить стратегически (системно);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планировать,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коммуникативные умения;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управлять изменениями;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Управленческие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оперативно принимать и реализовывать управленческие решения.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2.2.1. Гражданский служащий, замещающий должность главного специалиста-эксперта, должен иметь высшее образование по специальности (ям), направлению (ям) подготовки «</w:t>
      </w:r>
      <w:r>
        <w:rPr>
          <w:iCs/>
          <w:szCs w:val="26"/>
        </w:rPr>
        <w:t>Экономика</w:t>
      </w:r>
      <w:r>
        <w:rPr>
          <w:szCs w:val="26"/>
        </w:rPr>
        <w:t xml:space="preserve">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1) 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Федеральный закон от 26 октября 2002 г. № 127-ФЗ «О несостоятельности (банкротстве)»;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Приказ Министерства строительства и жилищно-коммунального хозяйства Российской Федерации от 12 августа 2016 г. №560/пр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5) Закон Чувашской Республики от 25 ноября 2011 г. № 67 «О защите прав граждан-участников долевого строительства многоквартирных домов, пострадавших от действий (бездействия) застройщиков на территории Чувашской Республики».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2.2.3. Иные профессиональные знания главного специалиста-эксперта должны включать: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понятие застройщик;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понятие объект долевого строительства;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понятие проблемный объект;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понятие граждан-участник долевого строительства многоквартирного дома, пострадавший от действий (бездействия) застройщика многоквартирного дома на территории Чувашской Республики.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ведение сводного перечня проблемных объектов, расположенных на территории Чувашской Республики;</w:t>
      </w:r>
    </w:p>
    <w:p>
      <w:pPr>
        <w:ind w:left="5" w:firstLine="715"/>
        <w:spacing/>
        <w:jc w:val="both"/>
        <w:widowControl w:val="0"/>
        <w:tabs>
          <w:tab w:val="left" w:pos="88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 xml:space="preserve">2) ведение сводного реестра граждан, чьи денежные средства привлечены для строительства многоквартирных домов и чьи права нарушены, к числу пострадавших.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принципы, методы, технологии и механизмы осуществления контроля (надзора);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виды, назначение и технологии организации проверочных процедур;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понятие единого реестра проверок, процедура его формирования;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4) институт предварительной проверки жалобы и иной информации, поступившей в контрольно-надзорный орган;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5) процедура организации проверки: порядок, этапы, инструменты проведения;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6) ограничения при проведении проверочных процедур;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7) меры, принимаемые по результатам проверки;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8) плановые (рейдовые) осмотры;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9) основания проведения и особенности внеплановых проверок;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10) понятие, процедура рассмотрения обращений граждан.</w:t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проведения плановых и внеплановых документарных (камеральных) проверок (обследований);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проведения плановых и внеплановых выездных проверок;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4) разработки, рассмотрения и согласования проектов нормативных правовых актов и других документов;</w:t>
      </w:r>
    </w:p>
    <w:p>
      <w:pPr>
        <w:ind w:firstLine="680"/>
        <w:spacing/>
        <w:jc w:val="both"/>
        <w:rPr>
          <w:szCs w:val="26"/>
        </w:rPr>
      </w:pPr>
      <w:r>
        <w:rPr>
          <w:rFonts w:eastAsia="Times New Roman"/>
          <w:szCs w:val="26"/>
        </w:rPr>
        <w:t>5) подготовки аналитических, информационных и других материалов</w:t>
      </w:r>
      <w:r>
        <w:rPr>
          <w:szCs w:val="26"/>
        </w:rPr>
        <w:t>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 xml:space="preserve">III. Должностные обязанности </w:t>
      </w:r>
      <w:r>
        <w:rPr>
          <w:szCs w:val="26"/>
        </w:rPr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3.1. Главный специалист-эксперт должен: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главный специалист-эксперт:</w:t>
      </w:r>
    </w:p>
    <w:p>
      <w:pPr>
        <w:ind w:firstLine="720"/>
        <w:spacing/>
        <w:jc w:val="both"/>
        <w:widowControl w:val="0"/>
        <w:tabs>
          <w:tab w:val="left" w:pos="72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3"/>
          <w:szCs w:val="26"/>
        </w:rPr>
      </w:pPr>
      <w:r>
        <w:rPr>
          <w:color w:val="000000"/>
          <w:spacing w:val="3"/>
          <w:szCs w:val="26"/>
        </w:rPr>
        <w:t xml:space="preserve">3.2.1. участвует в осуществлении контроля за целевым использованием застройщиком денежных средств, уплачиваемых участниками долевого строительства многоквартирных домов и (или) иных объектов недвижимости </w:t>
      </w:r>
      <w:r>
        <w:rPr>
          <w:color w:val="000000"/>
          <w:spacing w:val="-2"/>
          <w:szCs w:val="26"/>
        </w:rPr>
        <w:t>на основании анализа представленных документов в пределах своей компетенции</w:t>
      </w:r>
      <w:r>
        <w:rPr>
          <w:color w:val="000000"/>
          <w:spacing w:val="3"/>
          <w:szCs w:val="26"/>
        </w:rPr>
        <w:t>;</w:t>
      </w:r>
      <w:r>
        <w:rPr>
          <w:color w:val="000000"/>
          <w:spacing w:val="3"/>
          <w:szCs w:val="26"/>
        </w:rPr>
      </w:r>
    </w:p>
    <w:p>
      <w:pPr>
        <w:ind w:firstLine="737"/>
        <w:spacing/>
        <w:jc w:val="both"/>
        <w:rPr>
          <w:szCs w:val="26"/>
        </w:rPr>
      </w:pPr>
      <w:r>
        <w:rPr>
          <w:color w:val="000000"/>
          <w:spacing w:val="3"/>
          <w:szCs w:val="26"/>
        </w:rPr>
        <w:t>3.2.2.</w:t>
      </w:r>
      <w:r>
        <w:rPr>
          <w:szCs w:val="26"/>
        </w:rPr>
        <w:t xml:space="preserve"> выдает заключение о соответствии застройщика и проектной декларации требованиям</w:t>
      </w:r>
      <w:r>
        <w:rPr>
          <w:color w:val="000000"/>
          <w:spacing w:val="3"/>
          <w:szCs w:val="26"/>
        </w:rPr>
        <w:t xml:space="preserve">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Cs w:val="26"/>
        </w:rPr>
      </w:r>
    </w:p>
    <w:p>
      <w:pPr>
        <w:ind w:firstLine="720"/>
        <w:spacing/>
        <w:jc w:val="both"/>
        <w:widowControl w:val="0"/>
        <w:tabs>
          <w:tab w:val="left" w:pos="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8"/>
          <w:szCs w:val="26"/>
        </w:rPr>
      </w:pPr>
      <w:r>
        <w:rPr>
          <w:color w:val="000000"/>
          <w:spacing w:val="-2"/>
          <w:szCs w:val="26"/>
        </w:rPr>
        <w:t>3.2.3. осуществляет обследование хода строительства объектов, финансируемых за счет денежных средств участников долевого строительства;</w:t>
      </w:r>
      <w:r>
        <w:rPr>
          <w:color w:val="000000"/>
          <w:spacing w:val="-8"/>
          <w:szCs w:val="26"/>
        </w:rPr>
      </w:r>
    </w:p>
    <w:p>
      <w:pPr>
        <w:ind w:firstLine="737"/>
        <w:spacing/>
        <w:jc w:val="both"/>
        <w:rPr>
          <w:szCs w:val="26"/>
        </w:rPr>
      </w:pPr>
      <w:r>
        <w:rPr>
          <w:szCs w:val="26"/>
        </w:rPr>
        <w:t xml:space="preserve">3.2.4. своевременно рассматривает жалобы граждан и юридических лиц, связанные с нарушением </w:t>
      </w:r>
      <w:r>
        <w:rPr>
          <w:color w:val="000000"/>
          <w:spacing w:val="3"/>
          <w:szCs w:val="26"/>
        </w:rPr>
        <w:t>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r>
        <w:rPr>
          <w:szCs w:val="26"/>
        </w:rPr>
      </w:r>
    </w:p>
    <w:p>
      <w:pPr>
        <w:ind w:left="709"/>
        <w:spacing/>
        <w:jc w:val="both"/>
        <w:widowControl w:val="0"/>
        <w:tabs>
          <w:tab w:val="left" w:pos="1855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3.2.5. представлять в установленном порядке в судах права и законные интересы министерства в пределах своих должностных обязанностей;</w:t>
      </w:r>
    </w:p>
    <w:p>
      <w:pPr>
        <w:ind w:firstLine="720"/>
        <w:spacing/>
        <w:jc w:val="both"/>
        <w:widowControl w:val="0"/>
        <w:tabs>
          <w:tab w:val="left" w:pos="88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8"/>
          <w:szCs w:val="26"/>
        </w:rPr>
      </w:pPr>
      <w:r>
        <w:rPr>
          <w:color w:val="000000"/>
          <w:spacing w:val="-2"/>
          <w:szCs w:val="26"/>
        </w:rPr>
        <w:t>3.2.6. ежемесячно подготавливает аналитический материал, отчеты по долевому строительству многоквартирных домов и (или) иных объектов недвижимости;</w:t>
      </w:r>
      <w:r>
        <w:rPr>
          <w:color w:val="000000"/>
          <w:spacing w:val="-8"/>
          <w:szCs w:val="26"/>
        </w:rPr>
      </w:r>
    </w:p>
    <w:p>
      <w:pPr>
        <w:ind w:left="5" w:firstLine="715"/>
        <w:spacing/>
        <w:jc w:val="both"/>
        <w:widowControl w:val="0"/>
        <w:tabs>
          <w:tab w:val="left" w:pos="88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8"/>
          <w:szCs w:val="26"/>
        </w:rPr>
      </w:pPr>
      <w:r>
        <w:rPr>
          <w:color w:val="000000"/>
          <w:szCs w:val="26"/>
        </w:rPr>
        <w:t>3.2.7. ведет делопроизводство отдела, оформляет все подготавливаемые документы в соответствии с Инструкцией по делопроизводству министерства;</w:t>
      </w:r>
      <w:r>
        <w:rPr>
          <w:color w:val="000000"/>
          <w:spacing w:val="-8"/>
          <w:szCs w:val="26"/>
        </w:rPr>
      </w:r>
    </w:p>
    <w:p>
      <w:pPr>
        <w:numPr>
          <w:ilvl w:val="2"/>
          <w:numId w:val="1"/>
        </w:numPr>
        <w:ind w:left="0" w:firstLine="709"/>
        <w:spacing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8"/>
          <w:szCs w:val="26"/>
        </w:rPr>
      </w:pPr>
      <w:r/>
      <w:bookmarkStart w:id="0" w:name="OLE_LINK1"/>
      <w:bookmarkEnd w:id="0"/>
      <w:r/>
      <w:bookmarkStart w:id="1" w:name="OLE_LINK2"/>
      <w:bookmarkEnd w:id="1"/>
      <w:r/>
      <w:r>
        <w:rPr>
          <w:szCs w:val="26"/>
        </w:rPr>
        <w:t xml:space="preserve">формирует и ведет сводный перечень проблемных объектов на территории Чувашской Республики в соответствии с </w:t>
      </w:r>
      <w:hyperlink w:anchor="garantF1://17464939.0" w:history="1">
        <w:r>
          <w:rPr>
            <w:szCs w:val="26"/>
          </w:rPr>
          <w:t>Законом</w:t>
        </w:r>
      </w:hyperlink>
      <w:r>
        <w:rPr>
          <w:szCs w:val="26"/>
        </w:rPr>
        <w:t xml:space="preserve"> Чувашской Республики «О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Республики»;</w:t>
      </w:r>
      <w:r>
        <w:rPr>
          <w:color w:val="000000"/>
          <w:spacing w:val="-8"/>
          <w:szCs w:val="26"/>
        </w:rPr>
      </w:r>
    </w:p>
    <w:p>
      <w:pPr>
        <w:ind w:left="5" w:firstLine="715"/>
        <w:spacing/>
        <w:jc w:val="both"/>
        <w:widowControl w:val="0"/>
        <w:tabs>
          <w:tab w:val="left" w:pos="883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8"/>
          <w:szCs w:val="26"/>
        </w:rPr>
      </w:pPr>
      <w:r>
        <w:rPr>
          <w:szCs w:val="26"/>
        </w:rPr>
        <w:t>3.2.9. формирует и ведет сводный реестр граждан, чьи денежные средства привлечены для строительства многоквартирных домов и чьи права нарушены, к числу пострадавших;</w:t>
      </w:r>
      <w:r>
        <w:rPr>
          <w:color w:val="000000"/>
          <w:spacing w:val="-8"/>
          <w:szCs w:val="26"/>
        </w:rPr>
      </w:r>
    </w:p>
    <w:p>
      <w:pPr>
        <w:ind w:left="4" w:firstLine="716"/>
        <w:spacing/>
        <w:jc w:val="both"/>
        <w:widowControl w:val="0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zCs w:val="26"/>
        </w:rPr>
      </w:pPr>
      <w:r>
        <w:rPr>
          <w:color w:val="000000"/>
          <w:szCs w:val="26"/>
        </w:rPr>
        <w:t>3.2.10. подготавливает для руководства министерства и начальника отдела экономического анализа и финансового контроля справочные материалы по проблемным объектам;</w:t>
      </w:r>
    </w:p>
    <w:p>
      <w:pPr>
        <w:ind w:left="4" w:firstLine="716"/>
        <w:spacing/>
        <w:jc w:val="both"/>
        <w:widowControl w:val="0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3.2.11. участвует в составлении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 в части возмещения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застройщиками, на цели завершения строительства проблемного объекта в рамках реализации Закона Чувашской Республики от 25 ноября 2011 г. № 67 «О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Республики» (далее – возмещение затрат);</w:t>
      </w:r>
    </w:p>
    <w:p>
      <w:pPr>
        <w:ind w:left="4" w:firstLine="716"/>
        <w:spacing/>
        <w:jc w:val="both"/>
        <w:widowControl w:val="0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3.2.12. участвует в составлении документов, необходимых для составления и ведения кассового плана по расходам республиканского бюджета Чувашской Республики в части возмещения затрат;</w:t>
      </w:r>
    </w:p>
    <w:p>
      <w:pPr>
        <w:ind w:firstLine="680"/>
        <w:spacing/>
        <w:jc w:val="both"/>
        <w:widowControl w:val="0"/>
        <w:rPr>
          <w:szCs w:val="26"/>
        </w:rPr>
      </w:pPr>
      <w:r>
        <w:rPr>
          <w:szCs w:val="26"/>
        </w:rPr>
        <w:t>3.2.13. организовывает подготовку для средств массовой информации и размещения в информационно-телекоммуникационной сети «Интернет» информации, относящейся к компетенции отдела;</w:t>
      </w:r>
    </w:p>
    <w:p>
      <w:pPr>
        <w:ind w:firstLine="680"/>
        <w:spacing/>
        <w:jc w:val="both"/>
        <w:widowControl w:val="0"/>
        <w:rPr>
          <w:szCs w:val="26"/>
        </w:rPr>
      </w:pPr>
      <w:r>
        <w:rPr>
          <w:szCs w:val="26"/>
        </w:rPr>
        <w:t>3.2.14. выполняет другие поручения руководства, относящиеся к компетенции отдела;</w:t>
      </w:r>
    </w:p>
    <w:p>
      <w:pPr>
        <w:ind w:firstLine="680"/>
        <w:spacing/>
        <w:jc w:val="both"/>
        <w:widowControl w:val="0"/>
        <w:rPr>
          <w:szCs w:val="26"/>
        </w:rPr>
      </w:pPr>
      <w:r>
        <w:rPr>
          <w:szCs w:val="26"/>
        </w:rPr>
        <w:t>3.2.15. поддерживает уровень квалификации, достаточный для исполнения должностных обязанностей.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главного специалиста-эксперта установлены статьей 14 Федерального закона «О государственной гражданской службе Российской Федерации».</w:t>
      </w:r>
    </w:p>
    <w:p>
      <w:pPr>
        <w:ind w:firstLine="709"/>
        <w:rPr>
          <w:szCs w:val="26"/>
        </w:rPr>
      </w:pPr>
      <w:r>
        <w:rPr>
          <w:szCs w:val="26"/>
        </w:rPr>
        <w:t>4.2. Кроме того, главный специалист-эксперт имеет право: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4.2.1. в пределах своей компетенции рассматривать вопросы, относящиеся к функциям отдела;</w:t>
      </w:r>
    </w:p>
    <w:p>
      <w:pPr>
        <w:ind w:firstLine="680"/>
        <w:spacing/>
        <w:jc w:val="both"/>
        <w:tabs>
          <w:tab w:val="left" w:pos="540" w:leader="none"/>
        </w:tabs>
        <w:rPr>
          <w:rFonts w:eastAsia="Times New Roman"/>
          <w:szCs w:val="26"/>
        </w:rPr>
      </w:pPr>
      <w:r>
        <w:rPr>
          <w:rFonts w:eastAsia="Times New Roman"/>
          <w:szCs w:val="26"/>
        </w:rPr>
        <w:t>4.2.2. запрашивать и получать от государственных органов,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относящимся к компетенции отдела и необходимую для исполнения своих должностных обязанностей;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4.2.3. по поручению руководства представлять интересы отдела и министерства в других органах, организациях и учреждениях;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4.2.4. знакомиться с проектами решений руководства, касающимися деятельности отдела;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4.2.5. участвовать в совещаниях, семинарах и других мероприятиях по вопросам, отнесенным к компетенции отдела;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4.2.6. вносить предложения по совершенствованию работы отдела и министерства, о поощрении отличившихся работников, о наложении взысканий на нарушителей трудовой дисциплины;</w:t>
      </w:r>
    </w:p>
    <w:p>
      <w:pPr>
        <w:ind w:firstLine="680"/>
        <w:spacing/>
        <w:jc w:val="both"/>
        <w:tabs>
          <w:tab w:val="left" w:pos="540" w:leader="none"/>
        </w:tabs>
        <w:rPr>
          <w:rFonts w:eastAsia="Times New Roman"/>
          <w:szCs w:val="26"/>
        </w:rPr>
      </w:pPr>
      <w:r>
        <w:rPr>
          <w:rFonts w:eastAsia="Times New Roman"/>
          <w:szCs w:val="26"/>
        </w:rPr>
        <w:t>4.2.7. подписывать и визировать документы в пределах своей компетенции;</w:t>
      </w:r>
    </w:p>
    <w:p>
      <w:pPr>
        <w:ind w:firstLine="680"/>
        <w:spacing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4.2.8. взаимодействовать с руководителями структурных подразделений министерства в процессе выполнения своих должностных обязанностей.</w:t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вправе или обязан самостоятельно принимать управленческие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запрос недостающих документов к поступившим на исполнение поручениям;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консультирование лиц, замещающих государственные должности Чувашской Республики и муниципальные должности Чувашской Республики, должности гражданской службы Чувашской Республики, должности муниципальной службы, иных граждан по вопросам, отнесенным к компетенции отдела.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6.2. Вопросы, по которым г</w:t>
      </w:r>
      <w:hyperlink r:id="rId8" w:history="1">
        <w:r>
          <w:rPr>
            <w:rStyle w:val="char6"/>
            <w:szCs w:val="26"/>
            <w:u w:color="auto" w:val="none"/>
          </w:rPr>
          <w:t>лавный специалист-эксперт</w:t>
        </w:r>
      </w:hyperlink>
      <w:r>
        <w:rPr>
          <w:szCs w:val="26"/>
        </w:rPr>
        <w:t xml:space="preserve"> обязан самостоятельно принимать управленческие и иные решения: 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исполнение соответствующих документов по вопросам, отнесенным к компетенции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визирование проектов документов по вопросам, входящим в компетенцию отдела.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в подготовке проектов нормативных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7.1. Г</w:t>
      </w:r>
      <w:hyperlink r:id="rId8" w:history="1">
        <w:r>
          <w:rPr>
            <w:rStyle w:val="char6"/>
            <w:szCs w:val="26"/>
            <w:u w:color="auto" w:val="none"/>
          </w:rPr>
          <w:t>лавный специалист-эксперт</w:t>
        </w:r>
      </w:hyperlink>
      <w:r>
        <w:rPr>
          <w:szCs w:val="26"/>
        </w:rPr>
        <w:t xml:space="preserve"> вправе участвовать в подготовке проектов нормативных правовых актов Чувашской Республики по вопросам, входящим в компетенцию отдела, а также нормативных правовых актов министерства.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7.2 Г</w:t>
      </w:r>
      <w:hyperlink r:id="rId8" w:history="1">
        <w:r>
          <w:rPr>
            <w:rStyle w:val="char6"/>
            <w:szCs w:val="26"/>
            <w:u w:color="auto" w:val="none"/>
          </w:rPr>
          <w:t>лавный специалист-эксперт</w:t>
        </w:r>
      </w:hyperlink>
      <w:r>
        <w:rPr>
          <w:szCs w:val="26"/>
        </w:rPr>
        <w:t xml:space="preserve"> обязан участвовать в подготовке проектов нормативных правовых актов Чувашской Республики по вопросам, входящим в компетенцию отдела, проектов приказов министерства.</w:t>
      </w:r>
      <w:r/>
      <w:bookmarkStart w:id="2" w:name="_GoBack"/>
      <w:bookmarkEnd w:id="2"/>
      <w:r/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проектов управленческих и иных решений, порядок согласования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Г</w:t>
      </w:r>
      <w:hyperlink r:id="rId8" w:history="1">
        <w:r>
          <w:rPr>
            <w:rStyle w:val="char6"/>
            <w:szCs w:val="26"/>
            <w:u w:color="auto" w:val="none"/>
          </w:rPr>
          <w:t>лавный специалист-эксперт</w:t>
        </w:r>
      </w:hyperlink>
      <w:r>
        <w:rPr>
          <w:szCs w:val="26"/>
        </w:rPr>
        <w:t xml:space="preserve"> 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года № 03/1-03/119.</w:t>
      </w:r>
      <w:r>
        <w:rPr>
          <w:szCs w:val="26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гражданскими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служащими того же государственного органа, гражданскими служащими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иных государственных органов, другими гражданами,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другое.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по вопросам выполнения поручений руководства, в случае необходимости получения дополнительной информации, участие на совещаниях и другое.</w:t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органа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В соответствии с административным регламентом министерства главный специалист-эксперт в пределах своей компетенции оказание государственных услуг не осуществляет. 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Эффективность и результативность профессиональной служебной деятельности главного специалиста-эксперта оцениваются по показателям, приказом министерства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еже-месячной надбавки к должностному окладу за особые условия государственной гражданской службы Чувашской Республики» (с изменениями от  17 октября 2014 года № 03/1-03/454).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701" w:top="1134" w:right="851" w:bottom="1134" w:head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center"/>
      <w:rPr>
        <w:sz w:val="24"/>
      </w:rPr>
    </w:pPr>
    <w:r>
      <w:rPr>
        <w:sz w:val="24"/>
      </w:rPr>
      <w:fldChar w:fldCharType="begin"/>
      <w:instrText xml:space="preserve"> PAGE </w:instrText>
      <w:fldChar w:fldCharType="separate"/>
      <w:t>8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3"/>
      <w:numFmt w:val="decimal"/>
      <w:suff w:val="tab"/>
      <w:lvlText w:val="%1."/>
      <w:lvlJc w:val="left"/>
      <w:pPr>
        <w:ind w:left="0" w:hanging="0"/>
      </w:pPr>
      <w:rPr>
        <w:rPr>
          <w:color w:val="auto"/>
        </w:rPr>
      </w:rPr>
    </w:lvl>
    <w:lvl w:ilvl="1">
      <w:start w:val="2"/>
      <w:numFmt w:val="decimal"/>
      <w:suff w:val="tab"/>
      <w:lvlText w:val="%1.%2."/>
      <w:lvlJc w:val="left"/>
      <w:pPr>
        <w:ind w:left="2" w:hanging="0"/>
      </w:pPr>
      <w:rPr>
        <w:rPr>
          <w:color w:val="auto"/>
        </w:rPr>
      </w:rPr>
    </w:lvl>
    <w:lvl w:ilvl="2">
      <w:start w:val="8"/>
      <w:numFmt w:val="decimal"/>
      <w:suff w:val="tab"/>
      <w:lvlText w:val="%1.%2.%3."/>
      <w:lvlJc w:val="left"/>
      <w:pPr>
        <w:ind w:left="4" w:hanging="0"/>
      </w:pPr>
      <w:rPr>
        <w:rPr>
          <w:color w:val="auto"/>
        </w:rPr>
      </w:rPr>
    </w:lvl>
    <w:lvl w:ilvl="3">
      <w:start w:val="1"/>
      <w:numFmt w:val="decimal"/>
      <w:suff w:val="tab"/>
      <w:lvlText w:val="%1.%2.%3.%4."/>
      <w:lvlJc w:val="left"/>
      <w:pPr>
        <w:ind w:left="6" w:hanging="0"/>
      </w:pPr>
      <w:rPr>
        <w:rPr>
          <w:color w:val="auto"/>
        </w:rPr>
      </w:rPr>
    </w:lvl>
    <w:lvl w:ilvl="4">
      <w:start w:val="1"/>
      <w:numFmt w:val="decimal"/>
      <w:suff w:val="tab"/>
      <w:lvlText w:val="%1.%2.%3.%4.%5."/>
      <w:lvlJc w:val="left"/>
      <w:pPr>
        <w:ind w:left="8" w:hanging="0"/>
      </w:pPr>
      <w:rPr>
        <w:rPr>
          <w:color w:val="auto"/>
        </w:rPr>
      </w:rPr>
    </w:lvl>
    <w:lvl w:ilvl="5">
      <w:start w:val="1"/>
      <w:numFmt w:val="decimal"/>
      <w:suff w:val="tab"/>
      <w:lvlText w:val="%1.%2.%3.%4.%5.%6."/>
      <w:lvlJc w:val="left"/>
      <w:pPr>
        <w:ind w:left="10" w:hanging="0"/>
      </w:pPr>
      <w:rPr>
        <w:rPr>
          <w:color w:val="auto"/>
        </w:rPr>
      </w:rPr>
    </w:lvl>
    <w:lvl w:ilvl="6">
      <w:start w:val="1"/>
      <w:numFmt w:val="decimal"/>
      <w:suff w:val="tab"/>
      <w:lvlText w:val="%1.%2.%3.%4.%5.%6.%7."/>
      <w:lvlJc w:val="left"/>
      <w:pPr>
        <w:ind w:left="12" w:hanging="0"/>
      </w:pPr>
      <w:rPr>
        <w:rPr>
          <w:color w:val="auto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14" w:hanging="0"/>
      </w:pPr>
      <w:rPr>
        <w:rPr>
          <w:color w:val="auto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16" w:hanging="0"/>
      </w:pPr>
      <w:rPr>
        <w:rPr>
          <w:color w:val="auto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8"/>
    <w:tmLastPosSelect w:val="0"/>
    <w:tmLastPosFrameIdx w:val="0"/>
    <w:tmLastPosCaret>
      <w:tmLastPosPgfIdx w:val="16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520164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6"/>
      <w:szCs w:val="24"/>
    </w:rPr>
  </w:style>
  <w:style w:type="paragraph" w:styleId="para1">
    <w:name w:val="Footnote Text"/>
    <w:qFormat/>
    <w:basedOn w:val="para0"/>
    <w:rPr>
      <w:sz w:val="20"/>
      <w:szCs w:val="20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3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char2">
    <w:name w:val="Footnote Reference"/>
    <w:rPr>
      <w:rFonts w:cs="Times New Roman"/>
      <w:vertAlign w:val="superscript"/>
    </w:rPr>
  </w:style>
  <w:style w:type="character" w:styleId="char3" w:customStyle="1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4" w:customStyle="1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char6">
    <w:name w:val="Hyperlink"/>
    <w:rPr>
      <w:color w:val="auto"/>
      <w:u w:color="auto" w:val="single"/>
    </w:rPr>
  </w:style>
  <w:style w:type="character" w:styleId="char7" w:customStyle="1">
    <w:name w:val="Doc-Т внутри нумерации Знак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sz w:val="26"/>
      <w:szCs w:val="24"/>
    </w:rPr>
  </w:style>
  <w:style w:type="paragraph" w:styleId="para1">
    <w:name w:val="Footnote Text"/>
    <w:qFormat/>
    <w:basedOn w:val="para0"/>
    <w:rPr>
      <w:sz w:val="20"/>
      <w:szCs w:val="20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Times New Roman" w:cs="Courier New"/>
    </w:rPr>
  </w:style>
  <w:style w:type="paragraph" w:styleId="para3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Текст сноски Знак"/>
    <w:rPr>
      <w:rFonts w:ascii="Times New Roman" w:hAnsi="Times New Roman" w:cs="Times New Roman"/>
      <w:sz w:val="20"/>
      <w:szCs w:val="20"/>
      <w:lang w:val="ru-ru"/>
    </w:rPr>
  </w:style>
  <w:style w:type="character" w:styleId="char2">
    <w:name w:val="Footnote Reference"/>
    <w:rPr>
      <w:rFonts w:cs="Times New Roman"/>
      <w:vertAlign w:val="superscript"/>
    </w:rPr>
  </w:style>
  <w:style w:type="character" w:styleId="char3" w:customStyle="1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4" w:customStyle="1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styleId="char5" w:customStyle="1">
    <w:name w:val="Текст выноски Знак"/>
    <w:rPr>
      <w:rFonts w:ascii="Tahoma" w:hAnsi="Tahoma" w:cs="Tahoma"/>
      <w:sz w:val="16"/>
      <w:szCs w:val="16"/>
      <w:lang w:val="ru-ru"/>
    </w:rPr>
  </w:style>
  <w:style w:type="character" w:styleId="char6">
    <w:name w:val="Hyperlink"/>
    <w:rPr>
      <w:color w:val="auto"/>
      <w:u w:color="auto" w:val="single"/>
    </w:rPr>
  </w:style>
  <w:style w:type="character" w:styleId="char7" w:customStyle="1">
    <w:name w:val="Doc-Т внутри нумерации Знак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gov.cap.ru/Person.aspx?gov_id=21&amp;id=8802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Альбина Данилова</dc:creator>
  <cp:keywords/>
  <dc:description/>
  <cp:lastModifiedBy/>
  <cp:revision>10</cp:revision>
  <cp:lastPrinted>2018-12-19T06:40:53Z</cp:lastPrinted>
  <dcterms:created xsi:type="dcterms:W3CDTF">2017-02-16T12:15:00Z</dcterms:created>
  <dcterms:modified xsi:type="dcterms:W3CDTF">2018-12-19T06:40:41Z</dcterms:modified>
</cp:coreProperties>
</file>