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4962"/>
        <w:spacing/>
        <w:jc w:val="center"/>
        <w:rPr>
          <w:szCs w:val="26"/>
        </w:rPr>
      </w:pPr>
      <w:r>
        <w:rPr>
          <w:szCs w:val="26"/>
        </w:rPr>
      </w:r>
    </w:p>
    <w:tbl>
      <w:tblPr>
        <w:name w:val="Таблица1"/>
        <w:tabOrder w:val="0"/>
        <w:jc w:val="left"/>
        <w:tblInd w:w="0" w:type="dxa"/>
        <w:tblW w:w="9466" w:type="dxa"/>
      </w:tblPr>
      <w:tblGrid>
        <w:gridCol w:w="4862"/>
        <w:gridCol w:w="4604"/>
      </w:tblGrid>
      <w:tr>
        <w:trPr>
          <w:trHeight w:val="3828" w:hRule="atLeast"/>
        </w:trPr>
        <w:tc>
          <w:tcPr>
            <w:tcW w:w="486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92200" protected="1"/>
          </w:tcPr>
          <w:p>
            <w:pPr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60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92200" protected="1"/>
          </w:tcPr>
          <w:p>
            <w:pPr>
              <w:ind w:left="-108"/>
              <w:spacing/>
              <w:jc w:val="center"/>
              <w:rPr>
                <w:szCs w:val="26"/>
              </w:rPr>
            </w:pPr>
            <w:r>
              <w:rPr>
                <w:szCs w:val="26"/>
              </w:rPr>
              <w:t>УТВЕРЖДАЮ</w:t>
            </w:r>
          </w:p>
          <w:p>
            <w:pPr>
              <w:ind w:left="-108"/>
              <w:spacing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Министр строительства, архитектуры </w:t>
            </w:r>
          </w:p>
          <w:p>
            <w:pPr>
              <w:ind w:left="-108"/>
              <w:spacing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и жилищно-коммунального хозяйства </w:t>
            </w:r>
          </w:p>
          <w:p>
            <w:pPr>
              <w:ind w:left="-108"/>
              <w:spacing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Чувашской Республики </w:t>
            </w:r>
          </w:p>
          <w:p>
            <w:pPr>
              <w:ind w:left="-108"/>
              <w:spacing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>
            <w:pPr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spacing/>
              <w:jc w:val="both"/>
              <w:rPr>
                <w:szCs w:val="26"/>
                <w:u w:color="auto" w:val="single"/>
              </w:rPr>
            </w:pPr>
            <w:r>
              <w:rPr>
                <w:szCs w:val="26"/>
              </w:rPr>
              <w:t>_________________  В.Ю. Михайлов</w:t>
            </w:r>
            <w:r>
              <w:rPr>
                <w:szCs w:val="26"/>
                <w:u w:color="auto" w:val="single"/>
              </w:rPr>
            </w:r>
          </w:p>
          <w:p>
            <w:pPr>
              <w:rPr>
                <w:szCs w:val="26"/>
              </w:rPr>
            </w:pPr>
            <w:r>
              <w:rPr>
                <w:szCs w:val="26"/>
              </w:rPr>
            </w:r>
          </w:p>
          <w:p>
            <w:pPr>
              <w:spacing/>
              <w:jc w:val="center"/>
              <w:rPr>
                <w:szCs w:val="26"/>
              </w:rPr>
            </w:pPr>
            <w:r>
              <w:rPr>
                <w:szCs w:val="26"/>
              </w:rPr>
              <w:t>27 ноября 2017 г.</w:t>
            </w:r>
          </w:p>
        </w:tc>
      </w:tr>
    </w:tbl>
    <w:p>
      <w:pPr>
        <w:rPr>
          <w:szCs w:val="26"/>
        </w:rPr>
      </w:pPr>
      <w:r>
        <w:rPr>
          <w:szCs w:val="26"/>
        </w:rPr>
      </w:r>
    </w:p>
    <w:p>
      <w:pPr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ДОЛЖНОСТНОЙ РЕГЛАМЕНТ</w:t>
      </w: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государственного гражданского служащего Чувашской Республики,</w:t>
      </w:r>
      <w:r>
        <w:rPr>
          <w:b/>
          <w:szCs w:val="26"/>
        </w:rPr>
      </w:r>
    </w:p>
    <w:p>
      <w:pPr>
        <w:pStyle w:val="para2"/>
        <w: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замещающего должность государственной гражданской службы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para2"/>
        <w: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ведущей группы должностей, 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</w:r>
    </w:p>
    <w:p>
      <w:pPr>
        <w:spacing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Консультанта </w:t>
      </w:r>
      <w:r>
        <w:rPr>
          <w:rFonts w:eastAsia="Times New Roman"/>
          <w:b/>
          <w:szCs w:val="26"/>
        </w:rPr>
      </w:r>
    </w:p>
    <w:p>
      <w:pPr>
        <w:spacing/>
        <w:jc w:val="center"/>
        <w:rPr>
          <w:b/>
          <w:szCs w:val="26"/>
        </w:rPr>
      </w:pPr>
      <w:hyperlink r:id="rId8" w:history="1">
        <w:r>
          <w:rPr>
            <w:rFonts w:eastAsia="Times New Roman"/>
            <w:b/>
            <w:szCs w:val="26"/>
          </w:rPr>
          <w:t>отдела</w:t>
        </w:r>
      </w:hyperlink>
      <w:r>
        <w:rPr>
          <w:b/>
          <w:szCs w:val="26"/>
        </w:rPr>
        <w:t xml:space="preserve"> экономического анализа и финансового контроля</w:t>
      </w:r>
      <w:r>
        <w:rPr>
          <w:b/>
          <w:szCs w:val="26"/>
        </w:rPr>
      </w:r>
      <w:r>
        <w:br w:type="page"/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I. Общие положения</w:t>
      </w:r>
      <w:r>
        <w:rPr>
          <w:b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1.1. Должность государственной гражданской службы Чувашской Республики консультанта отдела экономического анализа и финансового контроля (далее – консультант) учреждается в Министерстве строительства, архитектуры и жилищно-коммунального хозяйства Чувашской Республики (далее – министерство) с целью обеспечения деятельности отдела экономического анализа и финансового контроля (далее – отдел) в соответствии с Положением об отделе.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«консультант» относится к категории «специалисты» ведущей группы должностей и имеет регистрационный номер (код)</w:t>
      </w:r>
      <w:r>
        <w:rPr>
          <w:szCs w:val="26"/>
          <w:vertAlign w:val="superscript"/>
        </w:rPr>
        <w:t xml:space="preserve"> </w:t>
      </w:r>
      <w:r>
        <w:rPr>
          <w:szCs w:val="26"/>
        </w:rPr>
        <w:t xml:space="preserve"> 3-3-3-18.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 регулирование жилищно-коммунального хозяйства и строительства (далее – область деятельности).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1.4. Вид профессиональной служебной деятельности гражданского служащего:  регулирование в сфере капитального строительства и капитального ремонта.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1.5. Консультант назначается на должность и освобождается от должности министром строительства, архитектуры и жилищно-коммунального хозяйства Чувашской Республики и непосредственно подчиняется начальнику отдела.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1.6. В период отсутствия</w:t>
      </w:r>
      <w:r>
        <w:rPr>
          <w:rFonts w:eastAsia="Times New Roman"/>
          <w:szCs w:val="26"/>
        </w:rPr>
        <w:t xml:space="preserve"> </w:t>
      </w:r>
      <w:r>
        <w:rPr>
          <w:szCs w:val="26"/>
        </w:rPr>
        <w:t>консультанта его обязанности распределяются начальником отдела между государственными гражданскими служащими отдела.</w:t>
      </w:r>
      <w:r>
        <w:rPr>
          <w:szCs w:val="26"/>
        </w:rPr>
      </w:r>
    </w:p>
    <w:p>
      <w:pPr>
        <w:spacing/>
        <w:jc w:val="both"/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II. Квалификационные требования</w:t>
      </w:r>
      <w:r>
        <w:rPr>
          <w:b/>
          <w:szCs w:val="26"/>
        </w:rPr>
      </w:r>
    </w:p>
    <w:p>
      <w:pPr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Для замещения должности консультанта устанавливаются базовые и профессионально-функциональные квалификационные требования. </w:t>
      </w:r>
      <w:r>
        <w:rPr>
          <w:szCs w:val="26"/>
        </w:rPr>
      </w:r>
    </w:p>
    <w:p>
      <w:pPr>
        <w:ind w:firstLine="709"/>
        <w:rPr>
          <w:szCs w:val="26"/>
        </w:rPr>
      </w:pPr>
      <w:r>
        <w:rPr>
          <w:szCs w:val="26"/>
        </w:rPr>
        <w:t>2.1. Базовые квалификационные требования:</w:t>
      </w:r>
      <w:r>
        <w:rPr>
          <w:szCs w:val="26"/>
        </w:rPr>
      </w:r>
    </w:p>
    <w:p>
      <w:pPr>
        <w:ind w:firstLine="720"/>
        <w:spacing/>
        <w:jc w:val="both"/>
        <w:tabs>
          <w:tab w:val="left" w:pos="540" w:leader="none"/>
        </w:tabs>
        <w:rPr>
          <w:szCs w:val="26"/>
        </w:rPr>
      </w:pPr>
      <w:r>
        <w:rPr>
          <w:szCs w:val="26"/>
        </w:rPr>
        <w:t>2.1.1. Гражданский служащий, замещающий должность консультанта, должен иметь высшее образование.</w:t>
      </w:r>
      <w:r>
        <w:rPr>
          <w:szCs w:val="26"/>
        </w:rPr>
      </w:r>
    </w:p>
    <w:p>
      <w:pPr>
        <w:ind w:firstLine="709"/>
        <w:spacing/>
        <w:jc w:val="both"/>
        <w:tabs>
          <w:tab w:val="left" w:pos="9411" w:leader="none"/>
        </w:tabs>
        <w:rPr>
          <w:rStyle w:val="char9"/>
          <w:sz w:val="26"/>
          <w:szCs w:val="26"/>
        </w:rPr>
      </w:pPr>
      <w:r>
        <w:rPr>
          <w:szCs w:val="26"/>
        </w:rPr>
        <w:t xml:space="preserve">2.1.2. Для должности </w:t>
      </w:r>
      <w:r>
        <w:rPr>
          <w:rStyle w:val="char9"/>
          <w:sz w:val="26"/>
          <w:szCs w:val="26"/>
        </w:rPr>
        <w:t>консультанта требования к стажу гражданской службы или работы по специальности, направлению подготовки не устанавливаются.</w:t>
      </w:r>
      <w:r>
        <w:rPr>
          <w:rStyle w:val="char9"/>
          <w:sz w:val="26"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2.1.3. Консультант должен обладать следующими базовыми знаниями и умениями: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1) знанием государственного языка Российской Федерации (русского языка);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2) знаниями основ: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Конституции Российской Федерации;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3) знаниями и умениями в области информационно-коммуникационных технологий.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2.1.4. Умения гражданского служащего, замещающего должность консультанта, должны включать:</w:t>
      </w:r>
      <w:r>
        <w:rPr>
          <w:szCs w:val="26"/>
        </w:rPr>
      </w:r>
    </w:p>
    <w:p>
      <w:pPr>
        <w:ind w:firstLine="709"/>
        <w:spacing/>
        <w:jc w:val="both"/>
        <w:rPr>
          <w:highlight w:val="yellow"/>
          <w:szCs w:val="26"/>
        </w:rPr>
      </w:pPr>
      <w:r>
        <w:rPr>
          <w:szCs w:val="26"/>
        </w:rPr>
        <w:t>общие умения:</w:t>
      </w:r>
      <w:r>
        <w:rPr>
          <w:highlight w:val="yellow"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- умение мыслить стратегически (системно);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- умение планировать, рационально использовать служебное время и достигать результата;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- коммуникативные умения;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- умение управлять изменениями;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управленческие умения:</w:t>
      </w:r>
      <w:r>
        <w:rPr>
          <w:szCs w:val="26"/>
        </w:rPr>
      </w:r>
    </w:p>
    <w:p>
      <w:pPr>
        <w:pStyle w:val="para7"/>
        <w:ind w:left="0"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умение руководить подчиненными, эффективно планировать, организовывать работу и контролировать ее выполнение;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para7"/>
        <w:ind w:left="0" w:firstLine="709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умение оперативно принимать и реализовывать управленческие решения.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2.2. Профессионально-функциональные квалификационные требования: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2.2.1. Гражданский служащий, замещающий должность консультанта, должен иметь высшее образование по специальности (ям), направлению (ям) подготовки «</w:t>
      </w:r>
      <w:r>
        <w:rPr>
          <w:iCs/>
          <w:szCs w:val="26"/>
        </w:rPr>
        <w:t>Экономика</w:t>
      </w:r>
      <w:r>
        <w:rPr>
          <w:szCs w:val="26"/>
        </w:rPr>
        <w:t xml:space="preserve">», и(или) «Бухгалтерский учет и аудит», и(или) «Юриспруденция»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2.2.2. Гражданский служащий, замещающий должность консультанта,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1) Федеральный закон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2)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3) Федеральный закон от 26 октября 2002 г. № 127-ФЗ «О несостоятельности (банкротстве)»;</w:t>
      </w:r>
      <w:r>
        <w:rPr>
          <w:szCs w:val="26"/>
        </w:rPr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 xml:space="preserve">4) Закон Чувашской Республики от 25 ноября 2011 г. № 67 «О защите прав граждан-участников долевого строительства многоквартирных домов, пострадавших от действий (бездействия) застройщиков на территории Чувашской Республики».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5) Приказ Министерства строительства и жилищно-коммунального хозяйства Российской Федерации от 12 августа 2016 г. №560/пр «Об утверждении критериев отнесения граждан, чьи денежные средства привлечены для строительства многоквартирных домов и чьи права нарушены, к числу пострадавших граждан и правил ведения реестра пострадавших граждан»;</w:t>
      </w:r>
      <w:r>
        <w:rPr>
          <w:szCs w:val="26"/>
        </w:rPr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 xml:space="preserve">2.2.3. Иные профессиональные знания консультанта должны включать: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</w:t>
      </w:r>
      <w:r>
        <w:rPr>
          <w:szCs w:val="26"/>
        </w:rPr>
        <w:t>) понятие застройщика;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2) понятие объекта долевого строительства;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3) понятие проблемного объекта;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4) понятие граждан-участников долевого строительства многоквартирного дома, пострадавших от действий (бездействия) застройщика многоквартирного дома на территории Чувашской Республики;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5) понятие проверки: плановая, внеплановая, документарная.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2.2.4. Гражданский служащий, замещающий должность консультанта, должен обладать следующими профессиональными умениями: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1) участие в осуществлении государственного контроля (надзора) в области долевого строительства многоквартирных домов и (или) иных объектов недвижимости 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2.2.5. Гражданский служащий, замещающий должность консультанта, должен обладать следующими функциональными знаниями: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1) принципы, методы, технологии и механизмы осуществления контроля (надзора);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2) виды, назначение и технологии организации проверочных процедур;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3) понятие единого реестра проверок, процедура его формирования;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4) институт предварительной проверки жалобы и иной информации, поступившей в контрольно-надзорный орган;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5) процедура организации проверки: порядок, этапы, инструменты проведения;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6) ограничения при проведении проверочных процедур;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7) меры, принимаемые по результатам проверки;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8) основания проведения и особенности внеплановых проверок;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9) понятие, процедура рассмотрения обращений граждан.</w:t>
      </w:r>
      <w:r>
        <w:rPr>
          <w:szCs w:val="26"/>
        </w:rPr>
      </w:r>
    </w:p>
    <w:p>
      <w:pPr>
        <w:ind w:firstLine="709"/>
        <w:spacing/>
        <w:jc w:val="both"/>
        <w:keepNext/>
        <w:rPr>
          <w:szCs w:val="26"/>
        </w:rPr>
      </w:pPr>
      <w:r>
        <w:rPr>
          <w:szCs w:val="26"/>
        </w:rPr>
        <w:t>2.2.6. Гражданский служащий, замещающий должность консультанта, должен обладать следующими функциональными умениями: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1) проведения плановых и внеплановых документарных (камеральных) проверок (обследований);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2) проведения плановых и внеплановых выездных проверок;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3) формирования и ведения реестров, кадастров, регистров, перечней, каталогов, лицевых счетов для обеспечения контрольно-надзорных полномочий;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4) осуществления контроля исполнения предписаний, решений и других распорядительных документов.</w:t>
      </w:r>
      <w:r>
        <w:rPr>
          <w:szCs w:val="26"/>
        </w:rPr>
      </w:r>
    </w:p>
    <w:p>
      <w:pPr>
        <w:ind w:firstLine="737"/>
        <w:spacing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5) разработки, рассмотрения и согласования проектов нормативных правовых актов и других документов;</w:t>
      </w:r>
      <w:r>
        <w:rPr>
          <w:rFonts w:eastAsia="Times New Roman"/>
          <w:szCs w:val="26"/>
        </w:rPr>
      </w:r>
    </w:p>
    <w:p>
      <w:pPr>
        <w:ind w:firstLine="737"/>
        <w:spacing/>
        <w:jc w:val="both"/>
        <w:rPr>
          <w:szCs w:val="26"/>
        </w:rPr>
      </w:pPr>
      <w:r>
        <w:rPr>
          <w:rFonts w:eastAsia="Times New Roman"/>
          <w:szCs w:val="26"/>
        </w:rPr>
        <w:t>6) подготовки аналитических, информационных и других материалов</w:t>
      </w:r>
      <w:r>
        <w:rPr>
          <w:szCs w:val="26"/>
        </w:rPr>
        <w:t>.</w:t>
      </w: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szCs w:val="26"/>
        </w:rPr>
      </w:pPr>
      <w:r>
        <w:rPr>
          <w:b/>
          <w:szCs w:val="26"/>
        </w:rPr>
        <w:t xml:space="preserve">III. Должностные обязанности </w:t>
      </w:r>
      <w:r>
        <w:rPr>
          <w:szCs w:val="26"/>
        </w:rPr>
      </w:r>
    </w:p>
    <w:p>
      <w:pPr>
        <w:ind w:firstLine="709"/>
        <w:spacing/>
        <w:jc w:val="both"/>
        <w:keepNext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3.1. Консультант должен:</w:t>
      </w:r>
      <w:r>
        <w:rPr>
          <w:szCs w:val="26"/>
        </w:rPr>
      </w:r>
    </w:p>
    <w:p>
      <w:pPr>
        <w:ind w:firstLine="709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r>
        <w:rPr>
          <w:szCs w:val="26"/>
        </w:rPr>
      </w:r>
    </w:p>
    <w:p>
      <w:pPr>
        <w:ind w:firstLine="709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  <w:r>
        <w:rPr>
          <w:szCs w:val="26"/>
        </w:rPr>
      </w:r>
    </w:p>
    <w:p>
      <w:pPr>
        <w:ind w:firstLine="709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  <w:r>
        <w:rPr>
          <w:szCs w:val="26"/>
        </w:rPr>
      </w:r>
    </w:p>
    <w:p>
      <w:pPr>
        <w:ind w:firstLine="709"/>
        <w:spacing/>
        <w:jc w:val="both"/>
        <w:tabs>
          <w:tab w:val="left" w:pos="709" w:leader="none"/>
        </w:tabs>
        <w:rPr>
          <w:szCs w:val="26"/>
        </w:rPr>
      </w:pPr>
      <w:r>
        <w:rPr>
          <w:szCs w:val="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  <w:r>
        <w:rPr>
          <w:szCs w:val="26"/>
        </w:rPr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3.2. Кроме того, исходя из задач и функций министерства консультант:</w:t>
      </w:r>
      <w:r>
        <w:rPr>
          <w:szCs w:val="26"/>
        </w:rPr>
      </w:r>
    </w:p>
    <w:p>
      <w:pPr>
        <w:ind w:firstLine="709"/>
        <w:spacing/>
        <w:jc w:val="both"/>
        <w:widowControl w:val="0"/>
        <w:tabs>
          <w:tab w:val="left" w:pos="883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3.2.1. участвует в осуществлении контроля за целевым использованием застройщиком денежных средств, уплачиваемых участниками долевого строительства по договору, для строительства многоквартирных домов и (или) иных объектов недвижимости;</w:t>
      </w:r>
      <w:r>
        <w:rPr>
          <w:szCs w:val="26"/>
        </w:rPr>
      </w:r>
    </w:p>
    <w:p>
      <w:pPr>
        <w:numPr>
          <w:ilvl w:val="2"/>
          <w:numId w:val="1"/>
        </w:numPr>
        <w:ind w:left="0" w:firstLine="709"/>
        <w:spacing/>
        <w:jc w:val="both"/>
        <w:widowControl w:val="0"/>
        <w:tabs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осуществляет прием и проверку ежеквартальной отчетности от застройщика об осуществлении деятельности, связанной с привлечением денежных средств участников долевого строительства;</w:t>
      </w:r>
      <w:r>
        <w:rPr>
          <w:szCs w:val="26"/>
        </w:rPr>
      </w:r>
    </w:p>
    <w:p>
      <w:pPr>
        <w:numPr>
          <w:ilvl w:val="2"/>
          <w:numId w:val="1"/>
        </w:numPr>
        <w:ind w:left="0" w:firstLine="709"/>
        <w:spacing/>
        <w:jc w:val="both"/>
        <w:widowControl w:val="0"/>
        <w:tabs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 xml:space="preserve"> проводит анализ, изучение и обобщение информации по данным ежеквартальной отчетности от застройщика об осуществлении деятельности, связанной с привлечением денежных средств участников долевого строительства итоги которых ежеквартально размещает на официальном сайте министерства в разделе «Долевое строительство»;</w:t>
      </w:r>
      <w:r>
        <w:rPr>
          <w:szCs w:val="26"/>
        </w:rPr>
      </w:r>
    </w:p>
    <w:p>
      <w:pPr>
        <w:numPr>
          <w:ilvl w:val="2"/>
          <w:numId w:val="1"/>
        </w:numPr>
        <w:ind w:left="0" w:firstLine="709"/>
        <w:spacing/>
        <w:jc w:val="both"/>
        <w:widowControl w:val="0"/>
        <w:tabs>
          <w:tab w:val="left" w:pos="0" w:leader="none"/>
          <w:tab w:val="left" w:pos="54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проводит работу с новыми застройщиками, привлекающими денежные средства граждан для строительства многоквартирных домов и иных объектов недвижимости;</w:t>
      </w:r>
      <w:r>
        <w:rPr>
          <w:szCs w:val="26"/>
        </w:rPr>
      </w:r>
    </w:p>
    <w:p>
      <w:pPr>
        <w:numPr>
          <w:ilvl w:val="2"/>
          <w:numId w:val="1"/>
        </w:numPr>
        <w:ind w:left="0" w:firstLine="709"/>
        <w:spacing/>
        <w:jc w:val="both"/>
        <w:widowControl w:val="0"/>
        <w:tabs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направляет лицам, осуществляющим привлечение денежных средств граждан для строительства, предписания об устранении нарушений Федерального закона от 30.12.2004 № 214-ФЗ;</w:t>
      </w:r>
      <w:r>
        <w:rPr>
          <w:szCs w:val="26"/>
        </w:rPr>
      </w:r>
    </w:p>
    <w:p>
      <w:pPr>
        <w:numPr>
          <w:ilvl w:val="2"/>
          <w:numId w:val="1"/>
        </w:numPr>
        <w:ind w:left="0" w:firstLine="709"/>
        <w:spacing/>
        <w:jc w:val="both"/>
        <w:widowControl w:val="0"/>
        <w:tabs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составляет по результатам проведенных проверок акты и на основании актов выдает предписание об устранении выявленных нарушений;</w:t>
      </w:r>
      <w:r>
        <w:rPr>
          <w:szCs w:val="26"/>
        </w:rPr>
      </w:r>
    </w:p>
    <w:p>
      <w:pPr>
        <w:numPr>
          <w:ilvl w:val="2"/>
          <w:numId w:val="1"/>
        </w:numPr>
        <w:ind w:left="0" w:firstLine="709"/>
        <w:spacing/>
        <w:jc w:val="both"/>
        <w:widowControl w:val="0"/>
        <w:tabs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составляет и подписывает протоколы об административных правонарушениях, предусмотренных статьей 14.28 и ч. 4 статьи 19.5 Кодекса Российской Федерации об административных правонарушениях;</w:t>
      </w:r>
      <w:r>
        <w:rPr>
          <w:szCs w:val="26"/>
        </w:rPr>
      </w:r>
    </w:p>
    <w:p>
      <w:pPr>
        <w:numPr>
          <w:ilvl w:val="2"/>
          <w:numId w:val="1"/>
        </w:numPr>
        <w:ind w:left="0" w:firstLine="709"/>
        <w:spacing/>
        <w:jc w:val="both"/>
        <w:widowControl w:val="0"/>
        <w:tabs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представляет в установленном порядке в судах права и законные интересы министерства в пределах своих должностных обязанностей;</w:t>
      </w:r>
      <w:r>
        <w:rPr>
          <w:szCs w:val="26"/>
        </w:rPr>
      </w:r>
    </w:p>
    <w:p>
      <w:pPr>
        <w:numPr>
          <w:ilvl w:val="2"/>
          <w:numId w:val="1"/>
        </w:numPr>
        <w:ind w:left="0" w:firstLine="709"/>
        <w:spacing/>
        <w:jc w:val="both"/>
        <w:widowControl w:val="0"/>
        <w:tabs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своевременно рассматривает жалобы граждан и юридических лиц, связанные с нарушением Федерального закона от 30.12.2004 № 214-ФЗ;</w:t>
      </w:r>
      <w:r>
        <w:rPr>
          <w:szCs w:val="26"/>
        </w:rPr>
      </w:r>
    </w:p>
    <w:p>
      <w:pPr>
        <w:ind w:firstLine="737"/>
        <w:spacing/>
        <w:jc w:val="both"/>
        <w:widowControl w:val="0"/>
        <w:tabs>
          <w:tab w:val="left" w:pos="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3.2.10. подготавливает данные по форме федерального статистического наблюдения по форме № 1-контроль «Сведения об осуществлении государственного контроля (надзора) и муниципального контроля», а также составляет отчеты о проведенных проверках в отношении застройщиков, привлекающих денежные средства участников долевого строительства в Прокуратуру Чувашской Республики по мере поступления запросов;</w:t>
      </w:r>
      <w:r>
        <w:rPr>
          <w:szCs w:val="26"/>
        </w:rPr>
      </w:r>
    </w:p>
    <w:p>
      <w:pPr>
        <w:ind w:firstLine="737"/>
        <w:spacing/>
        <w:jc w:val="both"/>
        <w:widowControl w:val="0"/>
        <w:tabs>
          <w:tab w:val="left" w:pos="0" w:leader="none"/>
          <w:tab w:val="left" w:pos="540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3.2.11. участвует в проведении проверок юридических лиц, в области долевого строительства многоквартирных домов и (или) иных объектов недвижимости;</w:t>
      </w:r>
      <w:r>
        <w:rPr>
          <w:szCs w:val="26"/>
        </w:rPr>
      </w:r>
    </w:p>
    <w:p>
      <w:pPr>
        <w:ind w:firstLine="737"/>
        <w:spacing/>
        <w:jc w:val="both"/>
        <w:rPr>
          <w:color w:val="000000"/>
          <w:spacing w:val="3"/>
          <w:szCs w:val="26"/>
        </w:rPr>
      </w:pPr>
      <w:r>
        <w:rPr>
          <w:szCs w:val="26"/>
        </w:rPr>
        <w:t>3.2.12. готовит заключение о соответствии застройщика и проектной декларации требованиям</w:t>
      </w:r>
      <w:r>
        <w:rPr>
          <w:color w:val="000000"/>
          <w:spacing w:val="3"/>
          <w:szCs w:val="26"/>
        </w:rPr>
        <w:t xml:space="preserve"> Федерального закона от 30.12.2004 № 214-ФЗ </w:t>
      </w:r>
      <w:r>
        <w:rPr>
          <w:szCs w:val="26"/>
        </w:rPr>
        <w:t>или мотивированный отказ в выдаче такого заключения;</w:t>
      </w:r>
      <w:r>
        <w:rPr>
          <w:color w:val="000000"/>
          <w:spacing w:val="3"/>
          <w:szCs w:val="26"/>
        </w:rPr>
        <w:t xml:space="preserve"> </w:t>
      </w:r>
      <w:r>
        <w:rPr>
          <w:color w:val="000000"/>
          <w:spacing w:val="3"/>
          <w:szCs w:val="26"/>
        </w:rPr>
      </w:r>
    </w:p>
    <w:p>
      <w:pPr>
        <w:ind w:firstLine="850"/>
        <w:spacing/>
        <w:jc w:val="both"/>
        <w:widowControl w:val="0"/>
        <w:tabs>
          <w:tab w:val="left" w:pos="0" w:leader="none"/>
          <w:tab w:val="left" w:pos="854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3.2.13. кроме перечисленных обязанностей по мере служебной необходимости, выполняет другие поручения начальника отдела по вопросам, относящимся к ведению отдела;</w:t>
      </w:r>
      <w:r>
        <w:rPr>
          <w:szCs w:val="26"/>
        </w:rPr>
      </w:r>
    </w:p>
    <w:p>
      <w:pPr>
        <w:ind w:firstLine="850"/>
        <w:spacing/>
        <w:jc w:val="both"/>
        <w:widowControl w:val="0"/>
        <w:tabs>
          <w:tab w:val="left" w:pos="0" w:leader="none"/>
          <w:tab w:val="left" w:pos="854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3.2.14. поддерживает уровень своей квалификации, достаточный для исполнения должностных обязанностей.</w:t>
      </w:r>
      <w:r>
        <w:rPr>
          <w:szCs w:val="26"/>
        </w:rPr>
      </w:r>
    </w:p>
    <w:p>
      <w:pPr>
        <w:ind w:firstLine="540"/>
        <w:spacing/>
        <w:jc w:val="both"/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IV. Права</w:t>
      </w:r>
    </w:p>
    <w:p>
      <w:pPr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4.1. Основные права консультанта установлены статьей 14 Федерального закона «О государственной гражданской службе Российской Федерации».</w:t>
      </w:r>
    </w:p>
    <w:p>
      <w:pPr>
        <w:ind w:firstLine="709"/>
        <w:rPr>
          <w:szCs w:val="26"/>
        </w:rPr>
      </w:pPr>
      <w:r>
        <w:rPr>
          <w:szCs w:val="26"/>
        </w:rPr>
        <w:t>4.2. Кроме того, консультант имеет право:</w:t>
      </w:r>
    </w:p>
    <w:p>
      <w:pPr>
        <w:ind w:firstLine="680"/>
        <w:spacing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4.2.1. в пределах своей компетенции рассматривать вопросы, относящиеся к функциям отдела;</w:t>
      </w:r>
    </w:p>
    <w:p>
      <w:pPr>
        <w:ind w:firstLine="680"/>
        <w:spacing/>
        <w:jc w:val="both"/>
        <w:tabs>
          <w:tab w:val="left" w:pos="540" w:leader="none"/>
        </w:tabs>
        <w:rPr>
          <w:rFonts w:eastAsia="Times New Roman"/>
          <w:szCs w:val="26"/>
        </w:rPr>
      </w:pPr>
      <w:r>
        <w:rPr>
          <w:rFonts w:eastAsia="Times New Roman"/>
          <w:szCs w:val="26"/>
        </w:rPr>
        <w:t>4.2.2. запрашивать и получать от государственных органов, предприятий, учреждений, организаций, независимо от форм собственности, общественных объединений статистические и справочные материалы, информацию по вопросам, относящимся к компетенции отдела и необходимую для исполнения своих должностных обязанностей;</w:t>
      </w:r>
    </w:p>
    <w:p>
      <w:pPr>
        <w:ind w:firstLine="680"/>
        <w:spacing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4.2.3. по поручению руководства представлять интересы отдела и министерства в других органах, организациях и учреждениях;</w:t>
      </w:r>
    </w:p>
    <w:p>
      <w:pPr>
        <w:ind w:firstLine="680"/>
        <w:spacing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4.2.4. знакомиться с проектами решений руководства, касающимися деятельности отдела;</w:t>
      </w:r>
    </w:p>
    <w:p>
      <w:pPr>
        <w:ind w:firstLine="680"/>
        <w:spacing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4.2.5. участвовать в совещаниях, семинарах и других мероприятиях по вопросам, отнесенным к компетенции отдела;</w:t>
      </w:r>
    </w:p>
    <w:p>
      <w:pPr>
        <w:ind w:firstLine="680"/>
        <w:spacing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4.2.6. вносить предложения по совершенствованию работы отдела и министерства, о поощрении отличившихся работников, о наложении взысканий на нарушителей трудовой дисциплины;</w:t>
      </w:r>
    </w:p>
    <w:p>
      <w:pPr>
        <w:ind w:firstLine="680"/>
        <w:spacing/>
        <w:jc w:val="both"/>
        <w:tabs>
          <w:tab w:val="left" w:pos="540" w:leader="none"/>
        </w:tabs>
        <w:rPr>
          <w:rFonts w:eastAsia="Times New Roman"/>
          <w:szCs w:val="26"/>
        </w:rPr>
      </w:pPr>
      <w:r>
        <w:rPr>
          <w:rFonts w:eastAsia="Times New Roman"/>
          <w:szCs w:val="26"/>
        </w:rPr>
        <w:t>4.2.7. подписывать и визировать документы в пределах своей компетенции;</w:t>
      </w:r>
    </w:p>
    <w:p>
      <w:pPr>
        <w:ind w:firstLine="680"/>
        <w:spacing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4.2.8. взаимодействовать с руководителями структурных подразделений министерства в процессе выполнения своих должностных обязанностей.</w:t>
      </w:r>
    </w:p>
    <w:p>
      <w:pPr>
        <w:ind w:firstLine="680"/>
        <w:spacing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V. Ответственность гражданского служащего за неисполнение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(ненадлежащее исполнение) должностных обязанностей</w:t>
      </w:r>
    </w:p>
    <w:p>
      <w:pPr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5.1. Консультант несет предусмотренную законодательством Российской Федерации ответственность за: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неисполнение либо ненадлежащее исполнение должностных обязанностей;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разглашение служебной информации, ставших известными гражданскому служащему в связи с исполнением им должностных обязанностей.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>
      <w:pPr>
        <w:ind w:firstLine="709"/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solid" w:color="FFFFFF" tmshd="1677721856, 0, 16777215"/>
        <w:rPr>
          <w:szCs w:val="26"/>
        </w:rPr>
      </w:pPr>
      <w:r>
        <w:rPr>
          <w:szCs w:val="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szCs w:val="26"/>
        </w:rPr>
      </w:pPr>
      <w:r>
        <w:rPr>
          <w:b/>
          <w:szCs w:val="26"/>
        </w:rPr>
        <w:t>VI. Перечень вопросов, по которым гражданский служащий</w:t>
      </w: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вправе или обязан самостоятельно принимать управленческие 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и иные решения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6.1. Вопросы, по которым консультант вправе самостоятельно принимать управленческие и иные решения: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запрос недостающих документов к поступившим на исполнение поручениям;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консультирование лиц, замещающих государственные должности Чувашской Республики и муниципальные должности Чувашской Республики, должности гражданской службы Чувашской Республики, должности муниципальной службы, иных граждан по вопросам, отнесенным к компетенции отдела.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6.2. Вопросы, по которым консультант обязан самостоятельно принимать управленческие и иные решения: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исполнение соответствующих документов по вопросам, отнесенным к компетенции отдела;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визирование проектов документов по вопросам, входящим в компетенцию отдела.</w:t>
      </w:r>
    </w:p>
    <w:p>
      <w:pPr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szCs w:val="26"/>
        </w:rPr>
      </w:pPr>
      <w:r>
        <w:rPr>
          <w:b/>
          <w:szCs w:val="26"/>
        </w:rPr>
        <w:t>VII. Перечень вопросов, по которым гражданский служащий</w:t>
      </w: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вправе или обязан участвовать в подготовке проектов нормативных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правовых актов и (или) проектов управленческих и иных решений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7.1. Консультант вправе участвовать в подготовке проектов нормативных правовых актов Чувашской Республики по вопросам, входящим в компетенцию отдела.</w:t>
      </w:r>
    </w:p>
    <w:p>
      <w:pPr>
        <w:ind w:firstLine="709"/>
        <w:spacing/>
        <w:jc w:val="both"/>
        <w:rPr>
          <w:kern w:val="1"/>
          <w:szCs w:val="26"/>
          <w:lang w:eastAsia="zh-cn"/>
        </w:rPr>
      </w:pPr>
      <w:r>
        <w:rPr>
          <w:szCs w:val="26"/>
        </w:rPr>
        <w:t xml:space="preserve">7.2 Консультант обязан участвовать в подготовке проектов нормативных правовых актов Чувашской Республики, </w:t>
      </w:r>
      <w:r>
        <w:rPr>
          <w:kern w:val="1"/>
          <w:szCs w:val="26"/>
          <w:lang w:eastAsia="zh-cn"/>
        </w:rPr>
        <w:t>нормативных актов министерства, возложенных на него в соответствии с настоящим должностным регламентом.</w:t>
      </w:r>
      <w:r>
        <w:rPr>
          <w:kern w:val="1"/>
          <w:szCs w:val="26"/>
          <w:lang w:eastAsia="zh-cn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Консультант осуществляет подготовку и рассмотрение проектов управленческих решений, согласование и принятие данных решений в соответствии с Инструкцией по делопроизводству в Министерстве строительства, архитектуры и жилищно-коммунального хозяйства Чувашской Республики, утвержденной приказом министерства от 17 апреля 2013 года № 03/1-03/119.</w:t>
      </w:r>
    </w:p>
    <w:p>
      <w:pPr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IX. Порядок служебного взаимодействия гражданского служащего 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в связи с исполнением им должностных обязанностей с гражданскими 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служащими того же государственного органа, гражданскими служащими 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 xml:space="preserve">иных государственных органов, другими гражданами, </w:t>
      </w:r>
    </w:p>
    <w:p>
      <w:pPr>
        <w:spacing/>
        <w:jc w:val="center"/>
        <w:rPr>
          <w:szCs w:val="26"/>
        </w:rPr>
      </w:pPr>
      <w:r>
        <w:rPr>
          <w:b/>
          <w:szCs w:val="26"/>
        </w:rPr>
        <w:t>а также с организациями</w:t>
      </w:r>
      <w:r>
        <w:rPr>
          <w:szCs w:val="26"/>
        </w:rPr>
      </w:r>
    </w:p>
    <w:p>
      <w:pPr>
        <w:spacing/>
        <w:jc w:val="center"/>
        <w:rPr>
          <w:szCs w:val="26"/>
        </w:rPr>
      </w:pPr>
      <w:r>
        <w:rPr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9.1. Консультант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 обмен письмами, служебной информацией, необходимой для исполнения должностных обязанностей, участие на совещаниях и другое.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>9.2. Консультант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 обмен письмами, по вопросам выполнения поручений руководства, в случае необходимости получения дополнительной информации, участие на совещаниях и другое.</w:t>
      </w:r>
    </w:p>
    <w:p>
      <w:pPr>
        <w:ind w:firstLine="709"/>
        <w:spacing/>
        <w:jc w:val="both"/>
        <w:keepNext/>
        <w:rPr>
          <w:szCs w:val="26"/>
        </w:rPr>
      </w:pPr>
      <w:r>
        <w:rPr>
          <w:szCs w:val="26"/>
        </w:rPr>
        <w:t>9.3. Консультант осуществляет служебное взаимодействие с гражданами и организациями в связи с исполнением своих должностных обязанностей в следующем порядке: обмен письмами, обмен информацией при приеме граждан по личным вопросам, дача разъяснений по вопросам, входящим в компетенцию отдела.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X. Перечень государственных услуг, оказываемых гражданам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и организациям в соответствии с административным регламентом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государственного органа</w:t>
      </w:r>
    </w:p>
    <w:p>
      <w:pPr>
        <w:rPr>
          <w:szCs w:val="26"/>
        </w:rPr>
      </w:pPr>
      <w:r>
        <w:rPr>
          <w:szCs w:val="26"/>
        </w:rPr>
      </w:r>
    </w:p>
    <w:p>
      <w:pPr>
        <w:ind w:firstLine="708"/>
        <w:spacing/>
        <w:jc w:val="both"/>
        <w:rPr>
          <w:szCs w:val="26"/>
        </w:rPr>
      </w:pPr>
      <w:r>
        <w:rPr>
          <w:szCs w:val="26"/>
        </w:rPr>
        <w:t xml:space="preserve">В соответствии с административным регламентом министерства консультант в пределах своей компетенции оказание государственных услуг не осуществляет. </w:t>
      </w:r>
    </w:p>
    <w:p>
      <w:pPr>
        <w:rPr>
          <w:szCs w:val="26"/>
        </w:rPr>
      </w:pPr>
      <w:r>
        <w:rPr>
          <w:szCs w:val="26"/>
        </w:rPr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XI. Показатели эффективности и результативности профессиональной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  <w:t>служебной деятельности гражданского служащего</w:t>
      </w:r>
    </w:p>
    <w:p>
      <w:pPr>
        <w:spacing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  <w:t xml:space="preserve">Эффективность и результативность профессиональной служебной деятельности консультанта оцениваются по показателям, приказом министерства от 25 июля 2013 года № 03/1-03/224 «О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 и еже-месячной надбавки к должностному окладу за особые условия государственной гражданской службы Чувашской Республики» (с изменениями от 17 октября 2014 года № 03/1-03/454). </w:t>
      </w:r>
    </w:p>
    <w:p>
      <w:pPr>
        <w:ind w:firstLine="709"/>
        <w:spacing/>
        <w:jc w:val="both"/>
        <w:rPr>
          <w:szCs w:val="26"/>
        </w:rPr>
      </w:pPr>
      <w:r>
        <w:rPr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9"/>
      <w:type w:val="nextPage"/>
      <w:pgSz w:h="16838" w:w="11906"/>
      <w:pgMar w:left="1701" w:top="1134" w:right="851" w:bottom="1134" w:header="709"/>
      <w:paperSrc w:first="0" w:other="0"/>
      <w:pgNumType w:fmt="decimal"/>
      <w:titlePg/>
      <w:tmGutter w:val="3"/>
      <w:mirrorMargins w:val="0"/>
      <w:tmSection w:h="-2">
        <w:tmHeader w:id="0" w:h="0" edge="70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Tahoma">
    <w:panose1 w:val="020B060403050404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spacing/>
      <w:jc w:val="center"/>
    </w:pPr>
    <w:r>
      <w:fldChar w:fldCharType="begin"/>
      <w:instrText xml:space="preserve"> PAGE </w:instrText>
      <w:fldChar w:fldCharType="separate"/>
      <w:t>7</w:t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3"/>
      <w:numFmt w:val="decimal"/>
      <w:suff w:val="tab"/>
      <w:lvlText w:val="%1."/>
      <w:lvlJc w:val="left"/>
      <w:pPr>
        <w:ind w:left="0" w:hanging="0"/>
      </w:pPr>
      <w:rPr/>
    </w:lvl>
    <w:lvl w:ilvl="1">
      <w:start w:val="2"/>
      <w:numFmt w:val="decimal"/>
      <w:suff w:val="tab"/>
      <w:lvlText w:val="%1.%2."/>
      <w:lvlJc w:val="left"/>
      <w:pPr>
        <w:ind w:left="180" w:hanging="0"/>
      </w:pPr>
      <w:rPr/>
    </w:lvl>
    <w:lvl w:ilvl="2">
      <w:start w:val="2"/>
      <w:numFmt w:val="decimal"/>
      <w:suff w:val="tab"/>
      <w:lvlText w:val="%1.%2.%3."/>
      <w:lvlJc w:val="left"/>
      <w:pPr>
        <w:ind w:left="284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540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720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900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1080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1260" w:hanging="0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1440" w:hanging="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7"/>
    <w:tmLastPosSelect w:val="0"/>
    <w:tmLastPosFrameIdx w:val="0"/>
    <w:tmLastPosCaret>
      <w:tmLastPosPgfIdx w:val="16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42892200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/>
      <w:sz w:val="26"/>
      <w:szCs w:val="24"/>
    </w:rPr>
  </w:style>
  <w:style w:type="paragraph" w:styleId="para1">
    <w:name w:val="Footnote Text"/>
    <w:qFormat/>
    <w:basedOn w:val="para0"/>
    <w:rPr>
      <w:sz w:val="20"/>
      <w:szCs w:val="20"/>
    </w:rPr>
  </w:style>
  <w:style w:type="paragraph" w:styleId="para2" w:customStyle="1">
    <w:name w:val="ConsPlusNonforma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Times New Roman" w:cs="Courier New"/>
    </w:rPr>
  </w:style>
  <w:style w:type="paragraph" w:styleId="para3">
    <w:name w:val="Header"/>
    <w:qFormat/>
    <w:basedOn w:val="para0"/>
    <w:pPr>
      <w:tabs>
        <w:tab w:val="center" w:pos="4677" w:leader="none"/>
        <w:tab w:val="right" w:pos="9355" w:leader="none"/>
      </w:tabs>
    </w:pPr>
    <w:rPr>
      <w:sz w:val="24"/>
    </w:rPr>
  </w:style>
  <w:style w:type="paragraph" w:styleId="para4">
    <w:name w:val="Footer"/>
    <w:qFormat/>
    <w:basedOn w:val="para0"/>
    <w:pPr>
      <w:tabs>
        <w:tab w:val="center" w:pos="4677" w:leader="none"/>
        <w:tab w:val="right" w:pos="9355" w:leader="none"/>
      </w:tabs>
    </w:pPr>
    <w:rPr>
      <w:sz w:val="24"/>
    </w:r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6" w:customStyle="1">
    <w:name w:val="Doc-Т внутри нумерации"/>
    <w:qFormat/>
    <w:basedOn w:val="para0"/>
    <w:pPr>
      <w:ind w:left="720" w:firstLine="709"/>
      <w:spacing w:line="360" w:lineRule="auto"/>
      <w:jc w:val="both"/>
    </w:pPr>
    <w:rPr>
      <w:sz w:val="20"/>
      <w:szCs w:val="20"/>
    </w:rPr>
  </w:style>
  <w:style w:type="paragraph" w:styleId="para7">
    <w:name w:val="List Paragraph"/>
    <w:qFormat/>
    <w:basedOn w:val="para0"/>
    <w:pPr>
      <w:ind w:left="720"/>
      <w:spacing w:after="200" w:line="276" w:lineRule="auto"/>
      <w:contextualSpacing/>
      <w:jc w:val="both"/>
    </w:pPr>
    <w:rPr>
      <w:rFonts w:ascii="Calibri" w:hAnsi="Calibri" w:cs="Calibri"/>
      <w:sz w:val="22"/>
      <w:szCs w:val="22"/>
    </w:rPr>
  </w:style>
  <w:style w:type="character" w:styleId="char0" w:default="1">
    <w:name w:val="Default Paragraph Font"/>
  </w:style>
  <w:style w:type="character" w:styleId="char1" w:customStyle="1">
    <w:name w:val="Текст сноски Знак"/>
    <w:rPr>
      <w:rFonts w:ascii="Times New Roman" w:hAnsi="Times New Roman" w:cs="Times New Roman"/>
      <w:sz w:val="20"/>
      <w:szCs w:val="20"/>
      <w:lang w:val="ru-ru"/>
    </w:rPr>
  </w:style>
  <w:style w:type="character" w:styleId="char2">
    <w:name w:val="Footnote Reference"/>
    <w:rPr>
      <w:rFonts w:cs="Times New Roman"/>
      <w:vertAlign w:val="superscript"/>
    </w:rPr>
  </w:style>
  <w:style w:type="character" w:styleId="char3" w:customStyle="1">
    <w:name w:val="Верх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styleId="char4" w:customStyle="1">
    <w:name w:val="Ниж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styleId="char5" w:customStyle="1">
    <w:name w:val="Текст выноски Знак"/>
    <w:rPr>
      <w:rFonts w:ascii="Tahoma" w:hAnsi="Tahoma" w:cs="Tahoma"/>
      <w:sz w:val="16"/>
      <w:szCs w:val="16"/>
      <w:lang w:val="ru-ru"/>
    </w:rPr>
  </w:style>
  <w:style w:type="character" w:styleId="char6">
    <w:name w:val="Hyperlink"/>
    <w:rPr>
      <w:color w:val="auto"/>
      <w:u w:color="auto" w:val="single"/>
    </w:rPr>
  </w:style>
  <w:style w:type="character" w:styleId="char7" w:customStyle="1">
    <w:name w:val="Doc-Т внутри нумерации Знак"/>
    <w:rPr>
      <w:rFonts w:ascii="Times New Roman" w:hAnsi="Times New Roman"/>
    </w:rPr>
  </w:style>
  <w:style w:type="character" w:styleId="char8" w:customStyle="1">
    <w:name w:val="Абзац списка Знак"/>
    <w:rPr>
      <w:sz w:val="22"/>
      <w:szCs w:val="22"/>
    </w:rPr>
  </w:style>
  <w:style w:type="character" w:styleId="char9" w:customStyle="1">
    <w:name w:val="Font Style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Times New Roman" w:hAnsi="Times New Roman"/>
      <w:sz w:val="26"/>
      <w:szCs w:val="24"/>
    </w:rPr>
  </w:style>
  <w:style w:type="paragraph" w:styleId="para1">
    <w:name w:val="Footnote Text"/>
    <w:qFormat/>
    <w:basedOn w:val="para0"/>
    <w:rPr>
      <w:sz w:val="20"/>
      <w:szCs w:val="20"/>
    </w:rPr>
  </w:style>
  <w:style w:type="paragraph" w:styleId="para2" w:customStyle="1">
    <w:name w:val="ConsPlusNonforma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Courier New" w:hAnsi="Courier New" w:eastAsia="Times New Roman" w:cs="Courier New"/>
    </w:rPr>
  </w:style>
  <w:style w:type="paragraph" w:styleId="para3">
    <w:name w:val="Header"/>
    <w:qFormat/>
    <w:basedOn w:val="para0"/>
    <w:pPr>
      <w:tabs>
        <w:tab w:val="center" w:pos="4677" w:leader="none"/>
        <w:tab w:val="right" w:pos="9355" w:leader="none"/>
      </w:tabs>
    </w:pPr>
    <w:rPr>
      <w:sz w:val="24"/>
    </w:rPr>
  </w:style>
  <w:style w:type="paragraph" w:styleId="para4">
    <w:name w:val="Footer"/>
    <w:qFormat/>
    <w:basedOn w:val="para0"/>
    <w:pPr>
      <w:tabs>
        <w:tab w:val="center" w:pos="4677" w:leader="none"/>
        <w:tab w:val="right" w:pos="9355" w:leader="none"/>
      </w:tabs>
    </w:pPr>
    <w:rPr>
      <w:sz w:val="24"/>
    </w:rPr>
  </w:style>
  <w:style w:type="paragraph" w:styleId="para5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6" w:customStyle="1">
    <w:name w:val="Doc-Т внутри нумерации"/>
    <w:qFormat/>
    <w:basedOn w:val="para0"/>
    <w:pPr>
      <w:ind w:left="720" w:firstLine="709"/>
      <w:spacing w:line="360" w:lineRule="auto"/>
      <w:jc w:val="both"/>
    </w:pPr>
    <w:rPr>
      <w:sz w:val="20"/>
      <w:szCs w:val="20"/>
    </w:rPr>
  </w:style>
  <w:style w:type="paragraph" w:styleId="para7">
    <w:name w:val="List Paragraph"/>
    <w:qFormat/>
    <w:basedOn w:val="para0"/>
    <w:pPr>
      <w:ind w:left="720"/>
      <w:spacing w:after="200" w:line="276" w:lineRule="auto"/>
      <w:contextualSpacing/>
      <w:jc w:val="both"/>
    </w:pPr>
    <w:rPr>
      <w:rFonts w:ascii="Calibri" w:hAnsi="Calibri" w:cs="Calibri"/>
      <w:sz w:val="22"/>
      <w:szCs w:val="22"/>
    </w:rPr>
  </w:style>
  <w:style w:type="character" w:styleId="char0" w:default="1">
    <w:name w:val="Default Paragraph Font"/>
  </w:style>
  <w:style w:type="character" w:styleId="char1" w:customStyle="1">
    <w:name w:val="Текст сноски Знак"/>
    <w:rPr>
      <w:rFonts w:ascii="Times New Roman" w:hAnsi="Times New Roman" w:cs="Times New Roman"/>
      <w:sz w:val="20"/>
      <w:szCs w:val="20"/>
      <w:lang w:val="ru-ru"/>
    </w:rPr>
  </w:style>
  <w:style w:type="character" w:styleId="char2">
    <w:name w:val="Footnote Reference"/>
    <w:rPr>
      <w:rFonts w:cs="Times New Roman"/>
      <w:vertAlign w:val="superscript"/>
    </w:rPr>
  </w:style>
  <w:style w:type="character" w:styleId="char3" w:customStyle="1">
    <w:name w:val="Верх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styleId="char4" w:customStyle="1">
    <w:name w:val="Нижни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styleId="char5" w:customStyle="1">
    <w:name w:val="Текст выноски Знак"/>
    <w:rPr>
      <w:rFonts w:ascii="Tahoma" w:hAnsi="Tahoma" w:cs="Tahoma"/>
      <w:sz w:val="16"/>
      <w:szCs w:val="16"/>
      <w:lang w:val="ru-ru"/>
    </w:rPr>
  </w:style>
  <w:style w:type="character" w:styleId="char6">
    <w:name w:val="Hyperlink"/>
    <w:rPr>
      <w:color w:val="auto"/>
      <w:u w:color="auto" w:val="single"/>
    </w:rPr>
  </w:style>
  <w:style w:type="character" w:styleId="char7" w:customStyle="1">
    <w:name w:val="Doc-Т внутри нумерации Знак"/>
    <w:rPr>
      <w:rFonts w:ascii="Times New Roman" w:hAnsi="Times New Roman"/>
    </w:rPr>
  </w:style>
  <w:style w:type="character" w:styleId="char8" w:customStyle="1">
    <w:name w:val="Абзац списка Знак"/>
    <w:rPr>
      <w:sz w:val="22"/>
      <w:szCs w:val="22"/>
    </w:rPr>
  </w:style>
  <w:style w:type="character" w:styleId="char9" w:customStyle="1">
    <w:name w:val="Font Style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gov.cap.ru/Person.aspx?gov_id=21&amp;id=8802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Альбина Данилова</dc:creator>
  <cp:keywords/>
  <dc:description/>
  <cp:lastModifiedBy/>
  <cp:revision>8</cp:revision>
  <cp:lastPrinted>2017-03-27T13:38:00Z</cp:lastPrinted>
  <dcterms:created xsi:type="dcterms:W3CDTF">2017-08-08T04:57:00Z</dcterms:created>
  <dcterms:modified xsi:type="dcterms:W3CDTF">2018-11-22T13:10:00Z</dcterms:modified>
</cp:coreProperties>
</file>