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425" w:type="dxa"/>
      </w:tblPr>
      <w:tblGrid>
        <w:gridCol w:w="4691"/>
        <w:gridCol w:w="4734"/>
      </w:tblGrid>
      <w:tr>
        <w:trPr>
          <w:trHeight w:val="3828" w:hRule="atLeast"/>
        </w:trPr>
        <w:tc>
          <w:tcPr>
            <w:tcW w:w="4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826774" protected="1"/>
          </w:tcPr>
          <w:p>
            <w:pPr>
              <w:rPr>
                <w:szCs w:val="26"/>
              </w:rPr>
            </w:pPr>
            <w:r>
              <w:rPr>
                <w:szCs w:val="26"/>
              </w:rPr>
            </w:r>
          </w:p>
        </w:tc>
        <w:tc>
          <w:tcPr>
            <w:tcW w:w="473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8826774" protected="1"/>
          </w:tcPr>
          <w:p>
            <w:pPr>
              <w:ind w:left="-108"/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>УТВЕРЖДАЮ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Министр строительства, архитектуры 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>и жилищно-коммунального хозяйства</w:t>
            </w:r>
          </w:p>
          <w:p>
            <w:pPr>
              <w:ind w:left="-108"/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 Чувашской Республики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________________      В.Ю.Михайлов </w:t>
            </w:r>
          </w:p>
          <w:p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</w:rPr>
            </w:r>
          </w:p>
          <w:p>
            <w:pPr>
              <w:spacing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7 августа 2017 г. 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ДОЛЖНОСТНОЙ РЕГЛАМЕНТ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государственного гражданского служащего Чувашской Республики,</w:t>
      </w:r>
      <w:r>
        <w:rPr>
          <w:b/>
          <w:szCs w:val="26"/>
        </w:rPr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государственной гражданской службы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старшей группы должностей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Главного специалиста-эксперта </w:t>
      </w:r>
      <w:r>
        <w:rPr>
          <w:rFonts w:ascii="Times New Roman" w:hAnsi="Times New Roman" w:cs="Times New Roman"/>
          <w:b/>
          <w:sz w:val="26"/>
          <w:szCs w:val="26"/>
        </w:rPr>
      </w:r>
    </w:p>
    <w:p>
      <w:pPr>
        <w:pStyle w:val="para12"/>
        <w: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отдела государственного строительного надзора </w:t>
      </w:r>
      <w:r>
        <w:rPr>
          <w:rFonts w:ascii="Times New Roman" w:hAnsi="Times New Roman" w:cs="Times New Roman"/>
          <w:b/>
          <w:sz w:val="26"/>
          <w:szCs w:val="26"/>
        </w:rPr>
      </w:r>
      <w:r>
        <w:br w:type="page"/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I. Общие положения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1.1. Должность государственной гражданской службы Чувашской Республики главный специалист-эксперт отдела государственного строительного надзора 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государственного строительного надзора (далее - отдел) в соответствии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>с Положением об отделе.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1.2. В соответствии с подразделом 1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>
        <w:rPr>
          <w:szCs w:val="26"/>
          <w:vertAlign w:val="superscript"/>
        </w:rPr>
        <w:t xml:space="preserve"> </w:t>
      </w:r>
      <w:r>
        <w:rPr>
          <w:szCs w:val="26"/>
        </w:rPr>
        <w:t>3-3-4-19.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 (далее – область деятельности).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1.4. Вид профессиональной служебной деятельности гражданского служащего: осуществление государственного строительного надзора.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(далее – министр) и непосредственно подчиняется начальнику отдела.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1.6. В период отсутствия главного специалиста-эксперта его обязанности распределяются между работниками отдела.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II. Квалификационные требования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Для замещения должности главного специалиста-эксперта устанавливаются базовые и профессионально-функциональные квалификационные требования.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 Базовые квалификационные требования: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2.1.1. Гражданский служащий, замещающий должность главного специалиста-эксперта, должен иметь высшее образование.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2.1.2. Для должности главный специалист-эксперт требования к стажу гражданской службы или работы по специальности, направлению подготовки не устанавливаются.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2.1.3. Главный специалист-эксперт должен обладать следующими базовыми знаниями и умениями: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знанием государственного языка Российской Федерации (русского языка);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2) знаниями основ: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Конституции Российской Федерации;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3) знаниями и умениями в области информационно-коммуникационных технологий.</w:t>
      </w:r>
    </w:p>
    <w:p>
      <w:pPr>
        <w:ind w:firstLine="709"/>
        <w:spacing/>
        <w:jc w:val="both"/>
        <w:rPr>
          <w:color w:val="000000"/>
          <w:szCs w:val="26"/>
        </w:rPr>
      </w:pPr>
      <w:r>
        <w:rPr>
          <w:color w:val="000000"/>
          <w:szCs w:val="26"/>
        </w:rPr>
        <w:t>4) умениями (общими и управленческими умениями), свидетельствующими о наличии необходимых профессиональных и личностных качеств (компетенций).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2.1.4. Умения гражданского служащего, замещающего должность главного специалиста-эксперта отдела, должны включать: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1) общие умения: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мыслить стратегически (системно);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планировать, рационально использовать служебное время и достигать результата;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коммуникативные умения;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- умение управлять изменениями.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2) управленческие умения: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- умение эффективно планировать, организовать работу и контролировать ее выполнение;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- умение оперативно принимать и реализовывать управленческие решения.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 Профессионально-функциональные квалификационные требования: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2.2.1. Гражданский служащий, замещающий должность главного специалиста-эксперта, должен иметь высшее образование по специальности, направлению подготовки «Техника и технологии строительства», и(или) «Автомобильные дороги», и(или) «Экология и природопользование», и(или) «Промышленное и гражданское строительство», и(или) «Производство строительных изделий и конструкций»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 </w:t>
      </w:r>
    </w:p>
    <w:p>
      <w:pPr>
        <w:ind w:firstLine="709"/>
        <w:spacing/>
        <w:jc w:val="both"/>
        <w:keepNext/>
        <w:rPr>
          <w:szCs w:val="26"/>
        </w:rPr>
      </w:pPr>
      <w:r>
        <w:rPr>
          <w:szCs w:val="26"/>
        </w:rPr>
        <w:t xml:space="preserve"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Кодекс Российской Федерации об административных правонарушениях от 30 декабря 2001 г.№ 195-ФЗ;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Градостроительный кодекс Российской Федерации от 29 декабря 2004 г. № 190-ФЗ;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Федеральный </w:t>
      </w:r>
      <w:hyperlink r:id="rId8" w:history="1">
        <w:r>
          <w:rPr>
            <w:szCs w:val="26"/>
          </w:rPr>
          <w:t>закон</w:t>
        </w:r>
      </w:hyperlink>
      <w:r>
        <w:rPr>
          <w:szCs w:val="26"/>
        </w:rPr>
        <w:t xml:space="preserve"> от 29 декабря 2004 г. № 191-ФЗ «О введении в действие Градостроительного кодекса Российской Федерации»;</w:t>
      </w:r>
      <w:r>
        <w:rPr>
          <w:szCs w:val="26"/>
        </w:rPr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21 декабря 1994 г.№ 69-ФЗ «О пожарной безопасности»;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30 марта 1999 г. № 52-ФЗ «О санитарно-эпидемиологическом благополучии населения»;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10 января 2002 г. № 7-ФЗ «Об охране окружающей среды»;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1 декабря 2007 г. № 315-ФЗ «О саморегулируемых организациях»;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22 июля 2008 г. № 123-ФЗ «Технический регламент о требованиях пожарной безопасности»;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Федеральный закон от 30 декабря 2009 г.№ 384-ФЗ «Технический регламент о безопасности зданий и сооружений»;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Федеральный </w:t>
      </w:r>
      <w:hyperlink r:id="rId9" w:history="1">
        <w:r>
          <w:rPr>
            <w:szCs w:val="26"/>
          </w:rPr>
          <w:t>закон</w:t>
        </w:r>
      </w:hyperlink>
      <w:r>
        <w:rPr>
          <w:szCs w:val="26"/>
        </w:rPr>
        <w:t xml:space="preserve"> от 2 мая 2006 г. № 59-ФЗ «О порядке рассмотрения обращений граждан Российской Федерации»;</w:t>
      </w:r>
      <w:r>
        <w:rPr>
          <w:szCs w:val="26"/>
        </w:rPr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1 февраля 2006 г. № 54 «О государственном строительном надзоре в Российской Федерации».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21 июня 2010 г.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Российской Федерации от 25 апреля 2012 г. № 390 «О противопожарном режиме». </w:t>
      </w:r>
    </w:p>
    <w:p>
      <w:pPr>
        <w:ind w:firstLine="708"/>
        <w:spacing/>
        <w:jc w:val="both"/>
        <w:rPr>
          <w:szCs w:val="26"/>
        </w:rPr>
      </w:pPr>
      <w:hyperlink r:id="rId10" w:history="1">
        <w:r>
          <w:rPr>
            <w:szCs w:val="26"/>
          </w:rPr>
          <w:t>постановление</w:t>
        </w:r>
      </w:hyperlink>
      <w:r>
        <w:rPr>
          <w:szCs w:val="26"/>
        </w:rPr>
        <w:t xml:space="preserve"> Правительства Российской Федерации от 30 сентября 2011 г. № 802 «Об утверждении Правил проведения консервации объекта капитального строительства»;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hyperlink r:id="rId11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12 января 2007 г.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hyperlink r:id="rId12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26 декабря 2006 г.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hyperlink r:id="rId13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26 декабря 2006 г. № 1129 «Об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hyperlink r:id="rId14" w:history="1">
        <w:r>
          <w:rPr>
            <w:szCs w:val="26"/>
          </w:rPr>
          <w:t>приказ</w:t>
        </w:r>
      </w:hyperlink>
      <w:r>
        <w:rPr>
          <w:szCs w:val="26"/>
        </w:rPr>
        <w:t xml:space="preserve"> Федеральной службы по экологическому, технологическому и атомному надзору от 26 декабря 2006 г. № 1130 «Об утверждении и введении в действие Порядка формирования и ведения дел при осуществлении государственного строительного надзора»;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Закон Чувашской Республики от 12.04.2005 № 11 «О государственной гражданской службе Чувашской Республики»; 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Закона Чувашской Республики от 04.06.2007 № 11 «О регулировании градостроительной деятельности в Чувашской Республике».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2.2.3 Иные профессиональные знания главного специалиста-эксперта должны включать: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>
        <w:rPr>
          <w:sz w:val="26"/>
          <w:szCs w:val="26"/>
        </w:rPr>
        <w:t>назначение, задачи и способы осуществления надзорных мероприятий;</w:t>
      </w:r>
      <w:r>
        <w:rPr>
          <w:sz w:val="26"/>
          <w:szCs w:val="26"/>
        </w:rPr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порядок организации проверок по программе проверок и внеплановых проверок, оформление результатов контрольно-надзорных мероприятий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порядок подготовки материалов и рассмотрения дел об административных правонарушениях;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порядок привлечения к административной ответственности за нарушение требований законодательства о градостроительной деятельности при строительстве и реконструкции объектов капитального строительства.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вопросы государственного строительного надзора при строительстве, реконструкции объектов, закрепленных законодательно за органами исполнительной власти субъектов Российской Федерации;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требования пожарной безопасности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требования охраны окружающей среды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требования в области санитарно-эпидемиологического благополучия населения;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требования энергетической эффективности и требования оснащенности объекта капитального строительства приборами учета используемых энергетических ресурсов;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требования технических регламентов при строительстве и реконструкции объектов капитального строительства;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порядок проведения строительного контроля; </w:t>
      </w:r>
    </w:p>
    <w:p>
      <w:pPr>
        <w:pStyle w:val="para19"/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порядок проверки соответствия выполняемых работ, применяемых строительных материалов в процессе строительства, реконструкции объекта капитального строительства и результатов таких работ требованиям технических регламентов, нормам и правилам, а также требованиям иных нормативных правовых актов и проектной документации. </w:t>
      </w:r>
    </w:p>
    <w:p>
      <w:pPr>
        <w:ind w:firstLine="567"/>
        <w:spacing/>
        <w:jc w:val="both"/>
        <w:rPr>
          <w:szCs w:val="26"/>
        </w:rPr>
      </w:pPr>
      <w:r>
        <w:rPr>
          <w:szCs w:val="26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1) </w:t>
      </w:r>
      <w:r>
        <w:rPr>
          <w:sz w:val="26"/>
          <w:szCs w:val="26"/>
        </w:rPr>
        <w:t xml:space="preserve">организация и проведение соответствующих контрольно-надзорных мероприятий в отношении выполнения работ в процессе строительства, реконструкции объектов капитального строительства; </w:t>
      </w:r>
      <w:r>
        <w:rPr>
          <w:sz w:val="26"/>
          <w:szCs w:val="26"/>
        </w:rPr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оформление результатов контрольно-надзорной деятельности и применение мер административного воздействия; </w:t>
      </w:r>
    </w:p>
    <w:p>
      <w:pPr>
        <w:pStyle w:val="para19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подготовка и рассмотрение материалов дел об административных правонарушениях; </w:t>
      </w:r>
    </w:p>
    <w:p>
      <w:pPr>
        <w:pStyle w:val="para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выявление нарушений требований технических регламентов, иных нормативных правовых актов и проектной документации при выполнении работ в процессе строительства, реконструкции объектов капитального строительства.</w:t>
      </w:r>
    </w:p>
    <w:p>
      <w:pPr>
        <w:pStyle w:val="para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главного специалиста-эксперта, </w:t>
      </w:r>
      <w:r>
        <w:rPr>
          <w:rFonts w:ascii="Times New Roman" w:hAnsi="Times New Roman" w:cs="Times New Roman" w:hint="eastAsia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обладать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знаниями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szCs w:val="26"/>
        </w:rPr>
      </w:pPr>
      <w:r>
        <w:rPr>
          <w:szCs w:val="26"/>
        </w:rPr>
        <w:t>1) принципы, методы, технологии и механизмы осуществления контроля (надзора);</w:t>
      </w:r>
    </w:p>
    <w:p>
      <w:pPr>
        <w:ind w:firstLine="708"/>
        <w:rPr>
          <w:szCs w:val="26"/>
        </w:rPr>
      </w:pPr>
      <w:r>
        <w:rPr>
          <w:szCs w:val="26"/>
        </w:rPr>
        <w:t>2) виды, назначение и технологии организации проверочных процедур;</w:t>
      </w:r>
    </w:p>
    <w:p>
      <w:pPr>
        <w:ind w:firstLine="708"/>
        <w:rPr>
          <w:szCs w:val="26"/>
        </w:rPr>
      </w:pPr>
      <w:r>
        <w:rPr>
          <w:szCs w:val="26"/>
        </w:rPr>
        <w:t>3) понятие единого реестра проверок, процедура его формирования;</w:t>
      </w:r>
    </w:p>
    <w:p>
      <w:pPr>
        <w:ind w:firstLine="708"/>
        <w:rPr>
          <w:szCs w:val="26"/>
        </w:rPr>
      </w:pPr>
      <w:r>
        <w:rPr>
          <w:szCs w:val="26"/>
        </w:rPr>
        <w:t>4) институт предварительной проверки жалобы и иной информации, поступившей в контрольно-надзорный орган;</w:t>
      </w:r>
    </w:p>
    <w:p>
      <w:pPr>
        <w:ind w:firstLine="708"/>
        <w:rPr>
          <w:szCs w:val="26"/>
        </w:rPr>
      </w:pPr>
      <w:r>
        <w:rPr>
          <w:szCs w:val="26"/>
        </w:rPr>
        <w:t>5) процедура организации проверки: порядок, этапы, инструменты проведения;</w:t>
      </w:r>
    </w:p>
    <w:p>
      <w:pPr>
        <w:ind w:firstLine="708"/>
        <w:rPr>
          <w:szCs w:val="26"/>
        </w:rPr>
      </w:pPr>
      <w:r>
        <w:rPr>
          <w:szCs w:val="26"/>
        </w:rPr>
        <w:t>6) ограничения при проведении проверочных процедур;</w:t>
      </w:r>
    </w:p>
    <w:p>
      <w:pPr>
        <w:ind w:firstLine="708"/>
        <w:rPr>
          <w:szCs w:val="26"/>
        </w:rPr>
      </w:pPr>
      <w:r>
        <w:rPr>
          <w:szCs w:val="26"/>
        </w:rPr>
        <w:t>7) меры, принимаемые по результатам проверки;</w:t>
      </w:r>
    </w:p>
    <w:p>
      <w:pPr>
        <w:pStyle w:val="para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 основания проведения и особенности внеплановых проверок;</w:t>
      </w:r>
    </w:p>
    <w:p>
      <w:pPr>
        <w:pStyle w:val="para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понятие, процедура рассмотрения обращений граждан.</w:t>
      </w:r>
    </w:p>
    <w:p>
      <w:pPr>
        <w:pStyle w:val="para4"/>
        <w:ind w:firstLine="708"/>
        <w: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</w:t>
      </w:r>
      <w:r>
        <w:rPr>
          <w:rFonts w:ascii="Times New Roman" w:hAnsi="Times New Roman" w:cs="Times New Roman" w:hint="eastAsia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служащий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замещающий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главного специалиста-эксперта, </w:t>
      </w:r>
      <w:r>
        <w:rPr>
          <w:rFonts w:ascii="Times New Roman" w:hAnsi="Times New Roman" w:cs="Times New Roman" w:hint="eastAsia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обладать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умениями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rPr>
          <w:szCs w:val="26"/>
        </w:rPr>
      </w:pPr>
      <w:r>
        <w:rPr>
          <w:szCs w:val="26"/>
        </w:rPr>
        <w:t>1) проведение плановых и внеплановых документарных (камеральных) проверок (обследований);</w:t>
      </w:r>
    </w:p>
    <w:p>
      <w:pPr>
        <w:ind w:firstLine="708"/>
        <w:rPr>
          <w:szCs w:val="26"/>
        </w:rPr>
      </w:pPr>
      <w:r>
        <w:rPr>
          <w:szCs w:val="26"/>
        </w:rPr>
        <w:t>2) проведение плановых и внеплановых выездных проверок;</w:t>
      </w:r>
    </w:p>
    <w:p>
      <w:pPr>
        <w:ind w:firstLine="708"/>
        <w:rPr>
          <w:szCs w:val="26"/>
        </w:rPr>
      </w:pPr>
      <w:r>
        <w:rPr>
          <w:szCs w:val="26"/>
        </w:rPr>
        <w:t>3 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4) осуществление контроля исполнения предписаний, решений и других распорядительных документов.</w:t>
      </w:r>
    </w:p>
    <w:p>
      <w:pPr>
        <w:ind w:firstLine="708"/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III. Должностные обязанности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3.1. Главный специалист-эксперт должен: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9"/>
        <w:spacing/>
        <w:jc w:val="both"/>
        <w:tabs>
          <w:tab w:val="left" w:pos="709" w:leader="none"/>
        </w:tabs>
        <w:rPr>
          <w:szCs w:val="26"/>
        </w:rPr>
      </w:pPr>
      <w:r>
        <w:rPr>
          <w:szCs w:val="26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3.2. Кроме того, исходя из задач и функций министерства главный специалист-эксперт: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3.2.1. осуществляет региональный государственный строительный надзор при: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строительстве объектов капитального строительства, проектная документация которых подлежит экспертизе в соответствии со </w:t>
      </w:r>
      <w:hyperlink r:id="rId15" w:history="1">
        <w:r>
          <w:rPr>
            <w:szCs w:val="26"/>
          </w:rPr>
          <w:t>статьей 49</w:t>
        </w:r>
      </w:hyperlink>
      <w:r>
        <w:rPr>
          <w:szCs w:val="26"/>
        </w:rPr>
        <w:t xml:space="preserve"> Градостроительного кодекса Российской Федерации либо является модифицированной проектной документацией;</w:t>
      </w:r>
      <w:r>
        <w:rPr>
          <w:szCs w:val="26"/>
        </w:rPr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 xml:space="preserve">реконструкции объектов капитального строительства,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наследия, подлежит экспертизе в соответствии со </w:t>
      </w:r>
      <w:hyperlink r:id="rId16" w:history="1">
        <w:r>
          <w:rPr>
            <w:szCs w:val="26"/>
          </w:rPr>
          <w:t>статьей 49</w:t>
        </w:r>
      </w:hyperlink>
      <w:r>
        <w:rPr>
          <w:szCs w:val="26"/>
        </w:rPr>
        <w:t xml:space="preserve"> Градостроительного кодекса Российской Федерации;</w:t>
      </w:r>
      <w:r>
        <w:rPr>
          <w:szCs w:val="26"/>
        </w:rPr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3.2.2. осуществляет государственный пожарный надзор, государственный санитарно-эпидемиологический надзор, государственный контроль за соответствием объекта капитального строительства требованиям в отношении его энергетической эффективности и требованиям в отношении его оснащенности приборами учета используемых энергетических ресурсов, а также, за исключением случаев, предусмотренных Градостроительным кодексом Российской Федерации, государственный контроль в области охраны окружающей среды (государственный экологический надзор) в рамках осуществления регионального государственного строительного надзора;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3.2.3. разрабатывает программу проведения проверок по осуществлению регионального государственного строительного надзора за строительством, реконструкцией объектов капитального строительства;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3.2.4. организовывает и проводит в установленном порядке проверки в случаях предусмотренных Градостроительным кодексом Российской Федерации;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3.2.5. готовит проекты приказов о назначении ответственных для осуществления регионального государственного строительного надзора при строительстве, реконструкции объектов капитального строительства;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3.2.6. формирует и ведет в установленном порядке дела на объекты капитального строительства; 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3.2.7. составляет по результатам проведенных проверок акты и на основании актов выдает предписание об устранении выявленных нарушений;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3.2.8. контролирует соблюдение запрета приступать к выполнению работ до составления акта об устранении нарушений (недостатков), выявленных при проведении строительного контроля и осуществлении регионального государственного строительного надзора;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3.2.9. вносит записи о результатах проведенных проверок в общий и (или) специальный журналы;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3.2.10. принимает меры по приостановке строительства, реконструкции объектов капитального строительства в соответствии с законодательством Российской Федерации.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3.2.11. возбуждает дела об административных правонарушениях, применяет меры обеспечения производства по делам об административных правонарушениях;</w:t>
      </w:r>
    </w:p>
    <w:p>
      <w:pPr>
        <w:pStyle w:val="para8"/>
        <w:ind w:firstLine="73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3.2.12. сообщает в соответствующие органы о фактах нарушения установленного организационно-правового порядка строительства, в том числе правил ввода объектов в эксплуатацию; 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3.2.13. принимает решение о выдаче заключений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3.2.14. участвует в разработке проекта решения о выдаче разрешения на строительство объекта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3.2.15. участвует в разработке проекта решения о выдаче разрешения на ввод объекта в эксплуатацию в случае строительства объекта капитального строительства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3.2.16. представляет в установленном порядке в судах права и законные интересы министерства по вопросам, отнесенным к компетенции отдела государственного строительного надзора;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3.2.17. обеспечивает своевременное и полное рассмотрение обращений граждан и организаций;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3.2.18. готовит для средств массовой информации материалы для размещения в информационно-телекоммуникационных сетях общего пользования по направлению деятельности отдела;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3.2.19. принимает участие в работе технической комиссии по  расследованию и установлению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которых причинен вред жизни или здоровью физических лиц, имуществу физических или юридических лиц;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3.2.20. оказывает информационно-консультационные услуги организациям Чувашской Республики по направлениям деятельности отдела;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IV. Права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4.1. Основные права главного специалиста-эксперта  установлены статьей 14 Федерального закона.</w:t>
      </w:r>
    </w:p>
    <w:p>
      <w:pPr>
        <w:ind w:firstLine="709"/>
        <w:rPr>
          <w:szCs w:val="26"/>
        </w:rPr>
      </w:pPr>
      <w:r>
        <w:rPr>
          <w:szCs w:val="26"/>
        </w:rPr>
        <w:t>4.2. Кроме того, главный специалист-эксперт имеет право: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4.2.1. по поручению министра, заместителя министра, курирующего деятельность отдела, представлять министерство в иных организациях, по вопросам, относящимся к компетенции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4.2.2. получать в установленном порядке от государственных органов, предприятий, учреждений, организаций, независимо от форм собственности, граждан и общественных объединений статистические и оперативные данные, отчетные и справочные материалы по вопросам, относящимся к сфере деятельности министерства, отдела</w:t>
      </w:r>
      <w:r>
        <w:rPr>
          <w:i/>
          <w:iCs/>
          <w:szCs w:val="26"/>
        </w:rPr>
        <w:t>,</w:t>
      </w:r>
      <w:r>
        <w:rPr>
          <w:szCs w:val="26"/>
        </w:rPr>
        <w:t xml:space="preserve"> необходимые для выполнения своих должностных обязанностей;</w:t>
      </w: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4.2.3. принимать участие в подготовке нормативных актов и других материалов, относящихся к компетенции министерства и отдела;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4.2.4. давать государственным органам, органам местного самоуправления, организациям и гражданам разъяснения по вопросам, отнесенным к компетенции отдела;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4.2.5. в пределах своей компетенции принимать решения, готовить проекты приказов, постановлений и иных документов министерства;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4.2.6. беспрепятственно посещать объекты капитального строительства при осуществлении своих полномочий;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4.2.7. требовать от застройщика, технического заказчика или лица, осуществляющего строительство, представления документов, информации, проектной документации, необходимой для осуществления регионального государственного строительного надзора, результатов выполненных работ, исполнительной документации, общего и (или) специального журналов, актов освидетельствования работ, конструкций, участков сетей инженерно-технического обеспечения, образцов (проб) применяемых строительных материалов;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4.2.8. требовать при осуществлении регионального государственного строительного надзора от застройщика, технического заказчика  или лица, осуществляющего строительство, проведение обследований, испытаний, экспертиз выполненных работ и применяемых строительных материалов, если они требуются при проведении строительного контроля, но не были осуществлены;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V. Ответственность гражданского служащего за неисполнение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(ненадлежащее исполнение) должностных обязанностей</w:t>
      </w:r>
    </w:p>
    <w:p>
      <w:pPr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5.1. Главный специалист-эксперт несет предусмотренную законодательством Российской Федерации ответственность за: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неисполнение либо ненадлежащее исполнение должностных обязанностей;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вправе или обязан самостоятельно принимать управленческие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иные решения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6.1. Главный специалист-эксперт вправе в пределах своей компетенции самостоятельно принимать управленческие и иные решения по вопросам: 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выполнение поручений министра, заместителя министра по вопросам, входящим в компетенцию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6.2. Главный специалист-эксперт обязан в пределах своей компетенции самостоятельно принимать управленческие и иные решения по вопросам: </w:t>
      </w:r>
    </w:p>
    <w:p>
      <w:pPr>
        <w:pStyle w:val="para8"/>
        <w:ind w:firstLine="708"/>
        <w:rPr>
          <w:sz w:val="26"/>
          <w:szCs w:val="26"/>
        </w:rPr>
      </w:pPr>
      <w:r>
        <w:rPr>
          <w:sz w:val="26"/>
          <w:szCs w:val="26"/>
        </w:rPr>
        <w:t>выполнение поручений министра, заместителя министра, начальника отдела по вопросам, входящим в компетенцию отдела;</w:t>
      </w:r>
    </w:p>
    <w:p>
      <w:pPr>
        <w:pStyle w:val="para8"/>
        <w:ind w:firstLine="708"/>
        <w:rPr>
          <w:sz w:val="26"/>
          <w:szCs w:val="26"/>
        </w:rPr>
      </w:pPr>
      <w:r>
        <w:rPr>
          <w:sz w:val="26"/>
          <w:szCs w:val="26"/>
        </w:rPr>
        <w:t>подписание и визирование документов в пределах своей компетенции;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подготовка аналитических и других материалов;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принятие решений о возбуждении дела об административном правонарушении;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составление программ проведения проверок;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выдача предписаний об устранения выявленных нарушений;</w:t>
      </w:r>
    </w:p>
    <w:p>
      <w:pPr>
        <w:ind w:firstLine="708"/>
        <w:spacing/>
        <w:jc w:val="both"/>
        <w:rPr>
          <w:szCs w:val="26"/>
        </w:rPr>
      </w:pPr>
      <w:r>
        <w:rPr>
          <w:szCs w:val="26"/>
        </w:rPr>
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>
      <w:pPr>
        <w:pStyle w:val="para18"/>
        <w:spacing w:before="0" w:after="0" w:beforeAutospacing="0" w:afterAutospac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VII. Перечень вопросов, по которым гражданский служащий</w:t>
      </w: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7.1. Главный специалист-эксперт вправе участвовать в подготовке: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проектов нормативных правовых актов Чувашской Республики по вопросам, входящим в компетенцию отдела;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предложений в соответствии с поручениями министра, заместителя министра по проектам федеральных законов,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по вопросам, входящим в компетенцию отдела, направленных в отдел в порядке согласования.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7.2. Главный специалист-эксперт обязан участвовать в подготовке предложений по формированию плана работы отдела, а также поставленных перед отделом задач на отчетный период</w:t>
      </w:r>
    </w:p>
    <w:p>
      <w:pPr>
        <w:ind w:firstLine="709"/>
        <w:spacing/>
        <w:jc w:val="both"/>
        <w:rPr>
          <w:b/>
          <w:szCs w:val="26"/>
        </w:rPr>
      </w:pPr>
      <w:r>
        <w:rPr>
          <w:szCs w:val="26"/>
        </w:rPr>
        <w:t xml:space="preserve"> </w:t>
      </w:r>
      <w:r>
        <w:rPr>
          <w:b/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VIII. Сроки и процедуры подготовки, рассмотрения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проектов управленческих и иных решений, порядок согласования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принятия данных решений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Главный специалист-эксперт осуществляет подготовку и рассмотрение проектов управленческих и иных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утвержденному приказом министерства от 17 апреля 2013 года № 03/1-03/119.</w:t>
      </w:r>
    </w:p>
    <w:p>
      <w:pPr>
        <w:spacing/>
        <w:jc w:val="center"/>
        <w:rPr>
          <w:szCs w:val="26"/>
        </w:rPr>
      </w:pPr>
      <w:r>
        <w:rPr>
          <w:szCs w:val="26"/>
        </w:rPr>
        <w:t xml:space="preserve"> 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IX. Порядок служебного взаимодействия гражданского служащего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в связи с исполнением им должностных обязанностей с гражданскими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служащими того же государственного органа, гражданскими служащими 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иных государственных органов, другими гражданами, </w:t>
      </w:r>
    </w:p>
    <w:p>
      <w:pPr>
        <w:spacing/>
        <w:jc w:val="center"/>
        <w:rPr>
          <w:szCs w:val="26"/>
        </w:rPr>
      </w:pPr>
      <w:r>
        <w:rPr>
          <w:b/>
          <w:szCs w:val="26"/>
        </w:rPr>
        <w:t>а также с организациями</w:t>
      </w:r>
      <w:r>
        <w:rPr>
          <w:szCs w:val="26"/>
        </w:rPr>
      </w:r>
    </w:p>
    <w:p>
      <w:pPr>
        <w:spacing/>
        <w:jc w:val="center"/>
        <w:rPr>
          <w:szCs w:val="26"/>
        </w:rPr>
      </w:pPr>
      <w:r>
        <w:rPr>
          <w:szCs w:val="26"/>
        </w:rPr>
      </w:r>
    </w:p>
    <w:p>
      <w:pPr>
        <w:pStyle w:val="para5"/>
        <w:ind w:firstLine="709"/>
        <w:outlineLvl w:val="0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министерства, в связи с исполнением своих должностных обязанностей в следующем порядке: обмен письмами, служебной информацией, необходимой для исполнения должностных обязанностей, участие на совещаниях и др.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</w:rPr>
      </w:pPr>
      <w:r>
        <w:rPr>
          <w:sz w:val="26"/>
          <w:szCs w:val="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обмен письмами, участие на совещаниях и др.</w:t>
      </w:r>
    </w:p>
    <w:p>
      <w:pPr>
        <w:pStyle w:val="para5"/>
        <w:ind w:firstLine="709"/>
        <w:tabs>
          <w:tab w:val="left" w:pos="540" w:leader="none"/>
        </w:tabs>
        <w:rPr>
          <w:sz w:val="26"/>
          <w:szCs w:val="26"/>
          <w:u w:color="auto" w:val="single"/>
        </w:rPr>
      </w:pPr>
      <w:r>
        <w:rPr>
          <w:sz w:val="26"/>
          <w:szCs w:val="26"/>
        </w:rPr>
        <w:t xml:space="preserve"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обмен письмами, обмен информацией при приеме граждан по личным вопросам, дача разъяснений по вопросам, входящим в компетенцию отдела. </w:t>
      </w:r>
      <w:r>
        <w:rPr>
          <w:sz w:val="26"/>
          <w:szCs w:val="26"/>
          <w:u w:color="auto" w:val="single"/>
        </w:rPr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X. Перечень государственных услуг, оказываемых гражданам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и организациям в соответствии с административным регламентом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 xml:space="preserve"> государственного органа</w:t>
      </w:r>
    </w:p>
    <w:p>
      <w:pPr>
        <w:rPr>
          <w:szCs w:val="26"/>
        </w:rPr>
      </w:pPr>
      <w:r>
        <w:rPr>
          <w:szCs w:val="26"/>
        </w:rPr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>Главный специалист-эксперт в пределах своей компетенции осуществляет:</w:t>
      </w:r>
    </w:p>
    <w:p>
      <w:pPr>
        <w:ind w:firstLine="709"/>
        <w:spacing/>
        <w:jc w:val="both"/>
        <w:rPr>
          <w:szCs w:val="26"/>
        </w:rPr>
      </w:pPr>
      <w:r>
        <w:rPr>
          <w:szCs w:val="26"/>
        </w:rPr>
        <w:t xml:space="preserve">бесплатную юридическую помощь гражданам в виде правового консультирования в устной и письменной форме по вопросам, относящимся к компетенции министерства, в соответствии с Законом Чувашской Республики «О бесплатной юридической помощи в Чувашской Республике» и в порядке, установленном законодательством Российской Федерации для рассмотрения обращений граждан. 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выдачу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выдачу разрешения на строительство объекта капитального строительства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>
      <w:pPr>
        <w:pStyle w:val="para8"/>
        <w:ind w:firstLine="708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выдачу разрешения на ввод объекта в эксплуатацию в случае строительства объекта капитального строительства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округов).</w:t>
      </w:r>
    </w:p>
    <w:p>
      <w:pPr>
        <w:rPr>
          <w:szCs w:val="26"/>
        </w:rPr>
      </w:pPr>
      <w:r>
        <w:rPr>
          <w:szCs w:val="26"/>
        </w:rPr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XI. Показатели эффективности и результативности профессиональной</w:t>
      </w:r>
    </w:p>
    <w:p>
      <w:pPr>
        <w:spacing/>
        <w:jc w:val="center"/>
        <w:rPr>
          <w:b/>
          <w:szCs w:val="26"/>
        </w:rPr>
      </w:pPr>
      <w:r>
        <w:rPr>
          <w:b/>
          <w:szCs w:val="26"/>
        </w:rPr>
        <w:t>служебной деятельности гражданского служащего</w:t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</w:r>
    </w:p>
    <w:p>
      <w:pPr>
        <w:ind w:firstLine="720"/>
        <w:spacing/>
        <w:jc w:val="both"/>
        <w:rPr>
          <w:szCs w:val="26"/>
        </w:rPr>
      </w:pPr>
      <w:r>
        <w:rPr>
          <w:szCs w:val="26"/>
        </w:rPr>
        <w:t>Эффективность и результативность профессиональной служебной деятельности консультанта оценивается на основании приказа министерства от 25.07.2013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>
      <w:pPr>
        <w:ind w:firstLine="720"/>
        <w:spacing/>
        <w:jc w:val="both"/>
        <w:rPr>
          <w:kern w:val="1"/>
          <w:szCs w:val="26"/>
        </w:rPr>
      </w:pPr>
      <w:r>
        <w:rPr>
          <w:kern w:val="1"/>
          <w:szCs w:val="26"/>
        </w:rPr>
      </w:r>
    </w:p>
    <w:sectPr>
      <w:footnotePr>
        <w:pos w:val="pageBottom"/>
        <w:numFmt w:val="decimal"/>
        <w:numStart w:val="1"/>
        <w:numRestart w:val="eachSect"/>
      </w:footnotePr>
      <w:endnotePr>
        <w:pos w:val="docEnd"/>
        <w:numFmt w:val="decimal"/>
        <w:numStart w:val="1"/>
        <w:numRestart w:val="eachSect"/>
      </w:endnotePr>
      <w:headerReference w:type="default" r:id="rId17"/>
      <w:type w:val="nextPage"/>
      <w:pgSz w:h="16840" w:w="11907"/>
      <w:pgMar w:left="1701" w:top="1134" w:right="851" w:bottom="1134" w:header="709"/>
      <w:paperSrc w:first="0" w:other="0"/>
      <w:pgNumType w:fmt="decimal" w:start="1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Symbol">
    <w:panose1 w:val="05050102010706020507"/>
    <w:charset w:val="02"/>
    <w:family w:val="roman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7"/>
      <w:spacing/>
      <w:jc w:val="center"/>
    </w:pPr>
    <w:r>
      <w:fldChar w:fldCharType="begin"/>
      <w:instrText xml:space="preserve"> PAGE </w:instrText>
      <w:fldChar w:fldCharType="separate"/>
      <w:t>3</w:t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eachSect"/>
  </w:footnotePr>
  <w:endnotePr>
    <w:pos w:val="docEnd"/>
    <w:numFmt w:val="decimal"/>
    <w:numStart w:val="1"/>
    <w:numRestart w:val="eachSect"/>
  </w:endnotePr>
  <w:compat>
    <w:shapeLayoutLikeWW8 w:val="1"/>
    <w:doNotUseHTMLParagraphAutoSpacing w:val="1"/>
  </w:compat>
  <w:shapeDefaults>
    <o:shapedefaults v:ext="edit" spidmax="2049"/>
    <o:shapelayout v:ext="edit">
      <o:rules v:ext="edit"/>
    </o:shapelayout>
  </w:shapeDefaults>
  <w:tmPrefOne w:val="17"/>
  <w:tmPrefTwo w:val="1"/>
  <w:tmFmtPref w:val="189281659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13"/>
      <w:tmLastPosIdx w:val="406"/>
    </w:tmLastPosCaret>
    <w:tmLastPosAnchor>
      <w:tmLastPosPgfIdx w:val="0"/>
      <w:tmLastPosIdx w:val="0"/>
    </w:tmLastPosAnchor>
    <w:tmLastPosTblRect w:left="0" w:top="0" w:right="0" w:bottom="0"/>
  </w:tmLastPos>
  <w:tmAppRevision w:date="1548826774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1"/>
      <w:w w:val="101"/>
      <w:sz w:val="20"/>
      <w:szCs w:val="18"/>
    </w:rPr>
  </w:style>
  <w:style w:type="paragraph" w:styleId="para11" w:customStyle="1">
    <w:name w:val="Body Text 2*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8">
    <w:name w:val="Normal (Web)"/>
    <w:qFormat/>
    <w:basedOn w:val="para0"/>
    <w:pPr>
      <w:spacing w:before="100" w:after="100" w:beforeAutospacing="1" w:afterAutospacing="1"/>
    </w:pPr>
    <w:rPr>
      <w:sz w:val="24"/>
    </w:rPr>
  </w:style>
  <w:style w:type="paragraph" w:styleId="para19" w:customStyle="1">
    <w:name w:val="Defaul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sz w:val="28"/>
      <w:szCs w:val="28"/>
      <w:lang w:val="ru-ru" w:bidi="ar-sa"/>
    </w:rPr>
  </w:style>
  <w:style w:type="character" w:styleId="char3" w:customStyle="1">
    <w:name w:val="Название Знак"/>
    <w:rPr>
      <w:rFonts w:ascii="TimesET" w:hAnsi="TimesET"/>
      <w:b/>
    </w:rPr>
  </w:style>
  <w:style w:type="character" w:styleId="char4" w:customStyle="1">
    <w:name w:val="Текст концевой сноски Знак"/>
  </w:style>
  <w:style w:type="character" w:styleId="char5">
    <w:name w:val="Endnote Reference"/>
    <w:rPr>
      <w:vertAlign w:val="superscript"/>
    </w:rPr>
  </w:style>
  <w:style w:type="character" w:styleId="char6" w:customStyle="1">
    <w:name w:val="Текст сноски Знак"/>
  </w:style>
  <w:style w:type="character" w:styleId="char7">
    <w:name w:val="Footnote Reference"/>
    <w:rPr>
      <w:vertAlign w:val="superscript"/>
    </w:rPr>
  </w:style>
  <w:style w:type="character" w:styleId="char8" w:customStyle="1">
    <w:name w:val="Нижний колонтитул Знак"/>
    <w:rPr>
      <w:sz w:val="26"/>
      <w:szCs w:val="24"/>
    </w:rPr>
  </w:style>
  <w:style w:type="character" w:styleId="char9" w:customStyle="1">
    <w:name w:val="Верхний колонтитул Знак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4"/>
    </w:rPr>
  </w:style>
  <w:style w:type="paragraph" w:styleId="para1">
    <w:name w:val="heading 1"/>
    <w:qFormat/>
    <w:basedOn w:val="para0"/>
    <w:next w:val="para0"/>
    <w:pPr>
      <w:keepNext/>
      <w:outlineLvl w:val="0"/>
    </w:pPr>
    <w:rPr>
      <w:rFonts w:ascii="TimesET" w:hAnsi="TimesET"/>
      <w:b/>
      <w:bCs/>
      <w:sz w:val="24"/>
    </w:rPr>
  </w:style>
  <w:style w:type="paragraph" w:styleId="para2">
    <w:name w:val="heading 3"/>
    <w:qFormat/>
    <w:basedOn w:val="para0"/>
    <w:next w:val="para0"/>
    <w:pPr>
      <w:spacing/>
      <w:jc w:val="both"/>
      <w:keepNext/>
      <w:outlineLvl w:val="2"/>
      <w:widowControl w:val="0"/>
    </w:pPr>
    <w:rPr>
      <w:sz w:val="24"/>
      <w:szCs w:val="20"/>
    </w:rPr>
  </w:style>
  <w:style w:type="paragraph" w:styleId="para3" w:customStyle="1">
    <w:name w:val="Con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  <w:sz w:val="28"/>
      <w:szCs w:val="28"/>
    </w:rPr>
  </w:style>
  <w:style w:type="paragraph" w:styleId="para4" w:customStyle="1">
    <w:name w:val="ConsNormal"/>
    <w:qFormat/>
    <w:pPr>
      <w:ind w:firstLine="72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  <w:sz w:val="28"/>
      <w:szCs w:val="28"/>
    </w:rPr>
  </w:style>
  <w:style w:type="paragraph" w:styleId="para5">
    <w:name w:val="Body Text"/>
    <w:qFormat/>
    <w:basedOn w:val="para0"/>
    <w:pPr>
      <w:spacing/>
      <w:jc w:val="both"/>
    </w:pPr>
    <w:rPr>
      <w:sz w:val="28"/>
      <w:szCs w:val="28"/>
    </w:rPr>
  </w:style>
  <w:style w:type="paragraph" w:styleId="para6">
    <w:name w:val="Body Text Indent 3"/>
    <w:qFormat/>
    <w:basedOn w:val="para0"/>
    <w:pPr>
      <w:ind w:firstLine="720"/>
      <w:spacing/>
      <w:jc w:val="both"/>
      <w:keepNext/>
      <w:keepLines/>
    </w:pPr>
    <w:rPr>
      <w:szCs w:val="26"/>
    </w:rPr>
  </w:style>
  <w:style w:type="paragraph" w:styleId="para7">
    <w:name w:val="Header"/>
    <w:qFormat/>
    <w:basedOn w:val="para0"/>
    <w:pPr>
      <w:tabs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para8">
    <w:name w:val="Body Text Indent"/>
    <w:qFormat/>
    <w:basedOn w:val="para0"/>
    <w:rPr>
      <w:sz w:val="28"/>
      <w:szCs w:val="28"/>
    </w:rPr>
  </w:style>
  <w:style w:type="paragraph" w:styleId="para9">
    <w:name w:val="Title"/>
    <w:qFormat/>
    <w:basedOn w:val="para0"/>
    <w:pPr>
      <w:spacing/>
      <w:jc w:val="center"/>
      <w:tabs>
        <w:tab w:val="left" w:pos="-2694" w:leader="none"/>
      </w:tabs>
    </w:pPr>
    <w:rPr>
      <w:rFonts w:ascii="TimesET" w:hAnsi="TimesET"/>
      <w:b/>
      <w:sz w:val="20"/>
      <w:szCs w:val="20"/>
    </w:rPr>
  </w:style>
  <w:style w:type="paragraph" w:styleId="para10">
    <w:name w:val="Body Text Indent 2"/>
    <w:qFormat/>
    <w:basedOn w:val="para0"/>
    <w:pPr>
      <w:ind w:firstLine="720"/>
      <w:spacing/>
      <w:jc w:val="both"/>
      <w:widowControl w:val="0"/>
      <w:tabs>
        <w:tab w:val="left" w:pos="859" w:leader="none"/>
      </w:tabs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1"/>
      <w:w w:val="101"/>
      <w:sz w:val="20"/>
      <w:szCs w:val="18"/>
    </w:rPr>
  </w:style>
  <w:style w:type="paragraph" w:styleId="para11" w:customStyle="1">
    <w:name w:val="Body Text 2*"/>
    <w:qFormat/>
    <w:basedOn w:val="para0"/>
    <w:pPr>
      <w:ind w:firstLine="720"/>
      <w:spacing/>
      <w:jc w:val="both"/>
      <w:widowControl w:val="0"/>
    </w:pPr>
    <w:rPr>
      <w:sz w:val="28"/>
      <w:szCs w:val="20"/>
    </w:rPr>
  </w:style>
  <w:style w:type="paragraph" w:styleId="para12" w:customStyle="1">
    <w:name w:val="ConsPlusNonformat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ourier New" w:hAnsi="Courier New" w:cs="Courier New"/>
    </w:rPr>
  </w:style>
  <w:style w:type="paragraph" w:styleId="para1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4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Arial" w:hAnsi="Arial" w:cs="Arial"/>
    </w:rPr>
  </w:style>
  <w:style w:type="paragraph" w:styleId="para15">
    <w:name w:val="Endnote Text"/>
    <w:qFormat/>
    <w:basedOn w:val="para0"/>
    <w:rPr>
      <w:sz w:val="20"/>
      <w:szCs w:val="20"/>
    </w:rPr>
  </w:style>
  <w:style w:type="paragraph" w:styleId="para16">
    <w:name w:val="Footnote Text"/>
    <w:qFormat/>
    <w:basedOn w:val="para0"/>
    <w:rPr>
      <w:sz w:val="20"/>
      <w:szCs w:val="20"/>
    </w:rPr>
  </w:style>
  <w:style w:type="paragraph" w:styleId="para17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8">
    <w:name w:val="Normal (Web)"/>
    <w:qFormat/>
    <w:basedOn w:val="para0"/>
    <w:pPr>
      <w:spacing w:before="100" w:after="100" w:beforeAutospacing="1" w:afterAutospacing="1"/>
    </w:pPr>
    <w:rPr>
      <w:sz w:val="24"/>
    </w:rPr>
  </w:style>
  <w:style w:type="paragraph" w:styleId="para19" w:customStyle="1">
    <w:name w:val="Defaul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color w:val="000000"/>
      <w:sz w:val="24"/>
      <w:szCs w:val="24"/>
    </w:rPr>
  </w:style>
  <w:style w:type="character" w:styleId="char0" w:default="1">
    <w:name w:val="Default Paragraph Font"/>
  </w:style>
  <w:style w:type="character" w:styleId="char1">
    <w:name w:val="Page Number"/>
  </w:style>
  <w:style w:type="character" w:styleId="char2" w:customStyle="1">
    <w:name w:val="Основной текст Знак"/>
    <w:rPr>
      <w:sz w:val="28"/>
      <w:szCs w:val="28"/>
      <w:lang w:val="ru-ru" w:bidi="ar-sa"/>
    </w:rPr>
  </w:style>
  <w:style w:type="character" w:styleId="char3" w:customStyle="1">
    <w:name w:val="Название Знак"/>
    <w:rPr>
      <w:rFonts w:ascii="TimesET" w:hAnsi="TimesET"/>
      <w:b/>
    </w:rPr>
  </w:style>
  <w:style w:type="character" w:styleId="char4" w:customStyle="1">
    <w:name w:val="Текст концевой сноски Знак"/>
  </w:style>
  <w:style w:type="character" w:styleId="char5">
    <w:name w:val="Endnote Reference"/>
    <w:rPr>
      <w:vertAlign w:val="superscript"/>
    </w:rPr>
  </w:style>
  <w:style w:type="character" w:styleId="char6" w:customStyle="1">
    <w:name w:val="Текст сноски Знак"/>
  </w:style>
  <w:style w:type="character" w:styleId="char7">
    <w:name w:val="Footnote Reference"/>
    <w:rPr>
      <w:vertAlign w:val="superscript"/>
    </w:rPr>
  </w:style>
  <w:style w:type="character" w:styleId="char8" w:customStyle="1">
    <w:name w:val="Нижний колонтитул Знак"/>
    <w:rPr>
      <w:sz w:val="26"/>
      <w:szCs w:val="24"/>
    </w:rPr>
  </w:style>
  <w:style w:type="character" w:styleId="char9" w:customStyle="1">
    <w:name w:val="Верхний колонтитул Знак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consultantplus://offline/ref=647F1CC1E5814BA29113EC809D8A792344C01F3FDC41CFBAE01E80D394dCWCI" TargetMode="External"/><Relationship Id="rId9" Type="http://schemas.openxmlformats.org/officeDocument/2006/relationships/hyperlink" Target="consultantplus://offline/ref=647F1CC1E5814BA29113EC809D8A792347C9173CD94ECFBAE01E80D394dCWCI" TargetMode="External"/><Relationship Id="rId10" Type="http://schemas.openxmlformats.org/officeDocument/2006/relationships/hyperlink" Target="consultantplus://offline/ref=647F1CC1E5814BA29113EC809D8A792347C01636D543CFBAE01E80D394dCWCI" TargetMode="External"/><Relationship Id="rId11" Type="http://schemas.openxmlformats.org/officeDocument/2006/relationships/hyperlink" Target="consultantplus://offline/ref=647F1CC1E5814BA29113EC809D8A792340C71936DF4D92B0E8478CD1d9W3I" TargetMode="External"/><Relationship Id="rId12" Type="http://schemas.openxmlformats.org/officeDocument/2006/relationships/hyperlink" Target="consultantplus://offline/ref=647F1CC1E5814BA29113EC809D8A792347C81B3BD546CFBAE01E80D394dCWCI" TargetMode="External"/><Relationship Id="rId13" Type="http://schemas.openxmlformats.org/officeDocument/2006/relationships/hyperlink" Target="consultantplus://offline/ref=647F1CC1E5814BA29113EC809D8A792347C9163ED842CFBAE01E80D394dCWCI" TargetMode="External"/><Relationship Id="rId14" Type="http://schemas.openxmlformats.org/officeDocument/2006/relationships/hyperlink" Target="consultantplus://offline/ref=647F1CC1E5814BA29113EC809D8A792347C81F3CD847CFBAE01E80D394dCWCI" TargetMode="External"/><Relationship Id="rId15" Type="http://schemas.openxmlformats.org/officeDocument/2006/relationships/hyperlink" Target="consultantplus://offline/ref=5E56F2128CEB2E59D252985B918C7A5DB5E01C1E088850C07012776930804C6D835FF79353lFW2K" TargetMode="External"/><Relationship Id="rId16" Type="http://schemas.openxmlformats.org/officeDocument/2006/relationships/hyperlink" Target="consultantplus://offline/ref=B0CE9D9F949121639B468AABDA9235038F65AAB2D45FFC5EDA89C59DB66026CE36E2291C03U9X3K" TargetMode="External"/><Relationship Id="rId1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ET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`</dc:creator>
  <cp:keywords/>
  <dc:description/>
  <cp:lastModifiedBy/>
  <cp:revision>9</cp:revision>
  <cp:lastPrinted>2018-12-13T13:52:34Z</cp:lastPrinted>
  <dcterms:created xsi:type="dcterms:W3CDTF">2017-01-30T11:58:00Z</dcterms:created>
  <dcterms:modified xsi:type="dcterms:W3CDTF">2019-01-30T05:39:34Z</dcterms:modified>
</cp:coreProperties>
</file>