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5B" w:rsidRPr="001A7846" w:rsidRDefault="00025A5B" w:rsidP="0042594E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A7846">
        <w:rPr>
          <w:rFonts w:ascii="Arial" w:eastAsia="Calibri" w:hAnsi="Arial" w:cs="Arial"/>
          <w:sz w:val="24"/>
          <w:szCs w:val="24"/>
          <w:lang w:eastAsia="en-US"/>
        </w:rPr>
        <w:t>Приложение</w:t>
      </w:r>
      <w:r w:rsidR="001A7846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="00EA35FC">
        <w:rPr>
          <w:rFonts w:ascii="Arial" w:eastAsia="Calibri" w:hAnsi="Arial" w:cs="Arial"/>
          <w:sz w:val="24"/>
          <w:szCs w:val="24"/>
          <w:lang w:eastAsia="en-US"/>
        </w:rPr>
        <w:t>2</w:t>
      </w:r>
      <w:bookmarkStart w:id="0" w:name="_GoBack"/>
      <w:bookmarkEnd w:id="0"/>
    </w:p>
    <w:tbl>
      <w:tblPr>
        <w:tblStyle w:val="a5"/>
        <w:tblW w:w="5387" w:type="dxa"/>
        <w:tblInd w:w="9322" w:type="dxa"/>
        <w:tblLook w:val="04A0" w:firstRow="1" w:lastRow="0" w:firstColumn="1" w:lastColumn="0" w:noHBand="0" w:noVBand="1"/>
      </w:tblPr>
      <w:tblGrid>
        <w:gridCol w:w="5387"/>
      </w:tblGrid>
      <w:tr w:rsidR="004E087C" w:rsidRPr="00883BC3" w:rsidTr="0042594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7846" w:rsidRPr="001A7846" w:rsidRDefault="001A7846" w:rsidP="001A78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</w:t>
            </w:r>
          </w:p>
          <w:p w:rsidR="001A7846" w:rsidRPr="001A7846" w:rsidRDefault="001A7846" w:rsidP="001A78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протокольным решением</w:t>
            </w:r>
          </w:p>
          <w:p w:rsidR="001A7846" w:rsidRPr="001A7846" w:rsidRDefault="001A7846" w:rsidP="001A78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Совета при Главе Чувашской</w:t>
            </w:r>
          </w:p>
          <w:p w:rsidR="001A7846" w:rsidRPr="001A7846" w:rsidRDefault="001A7846" w:rsidP="001A78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Республики по стратегическому</w:t>
            </w:r>
          </w:p>
          <w:p w:rsidR="001A7846" w:rsidRPr="001A7846" w:rsidRDefault="001A7846" w:rsidP="001A78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развитию и приоритетным проектам</w:t>
            </w:r>
          </w:p>
          <w:p w:rsidR="004E087C" w:rsidRPr="00883BC3" w:rsidRDefault="001A7846" w:rsidP="001A784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78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 26 февраля 2018 г. № 8</w:t>
            </w:r>
          </w:p>
        </w:tc>
      </w:tr>
    </w:tbl>
    <w:p w:rsidR="00025A5B" w:rsidRPr="00883BC3" w:rsidRDefault="00025A5B" w:rsidP="00883BC3">
      <w:pPr>
        <w:widowControl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BF1683" w:rsidRPr="00883BC3" w:rsidRDefault="00BF1683" w:rsidP="00883BC3">
      <w:pPr>
        <w:widowControl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83BC3">
        <w:rPr>
          <w:rFonts w:ascii="Times New Roman" w:eastAsia="Calibri" w:hAnsi="Times New Roman"/>
          <w:b/>
          <w:sz w:val="24"/>
          <w:szCs w:val="24"/>
          <w:lang w:eastAsia="en-US"/>
        </w:rPr>
        <w:t>Запрос на изменение приоритетного проекта</w:t>
      </w:r>
    </w:p>
    <w:p w:rsidR="00883BC3" w:rsidRPr="00883BC3" w:rsidRDefault="00BF1683" w:rsidP="00883BC3">
      <w:pPr>
        <w:widowControl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83BC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1F74DE" w:rsidRPr="00883BC3">
        <w:rPr>
          <w:rFonts w:ascii="Times New Roman" w:eastAsia="Calibri" w:hAnsi="Times New Roman"/>
          <w:b/>
          <w:sz w:val="24"/>
          <w:szCs w:val="24"/>
          <w:lang w:eastAsia="en-US"/>
        </w:rPr>
        <w:t>Развитие системы «одного окна» предоставления услуг, сервисов и мер поддержки предпринимательства»</w:t>
      </w:r>
      <w:r w:rsidR="00683F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 1</w:t>
      </w:r>
    </w:p>
    <w:p w:rsidR="00883BC3" w:rsidRPr="00883BC3" w:rsidRDefault="00883BC3" w:rsidP="0042594E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F1683" w:rsidRPr="00883BC3" w:rsidRDefault="00BF1683" w:rsidP="00BF1683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83BC3">
        <w:rPr>
          <w:rFonts w:ascii="Times New Roman" w:eastAsia="Calibri" w:hAnsi="Times New Roman"/>
          <w:sz w:val="24"/>
          <w:szCs w:val="24"/>
          <w:lang w:eastAsia="en-US"/>
        </w:rPr>
        <w:t>Общая информация по запросу на изменение</w:t>
      </w:r>
    </w:p>
    <w:p w:rsidR="00BF1683" w:rsidRPr="00883BC3" w:rsidRDefault="00BF1683" w:rsidP="00BF1683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2"/>
        <w:tblW w:w="0" w:type="auto"/>
        <w:tblInd w:w="534" w:type="dxa"/>
        <w:tblLook w:val="04A0" w:firstRow="1" w:lastRow="0" w:firstColumn="1" w:lastColumn="0" w:noHBand="0" w:noVBand="1"/>
      </w:tblPr>
      <w:tblGrid>
        <w:gridCol w:w="3499"/>
        <w:gridCol w:w="10631"/>
      </w:tblGrid>
      <w:tr w:rsidR="0047093D" w:rsidRPr="00883BC3" w:rsidTr="00883BC3">
        <w:trPr>
          <w:trHeight w:val="20"/>
        </w:trPr>
        <w:tc>
          <w:tcPr>
            <w:tcW w:w="3499" w:type="dxa"/>
          </w:tcPr>
          <w:p w:rsidR="00BF1683" w:rsidRPr="00883BC3" w:rsidRDefault="00BF1683" w:rsidP="00BF16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Инициатор запроса</w:t>
            </w:r>
          </w:p>
        </w:tc>
        <w:tc>
          <w:tcPr>
            <w:tcW w:w="10631" w:type="dxa"/>
          </w:tcPr>
          <w:p w:rsidR="00BF1683" w:rsidRPr="00883BC3" w:rsidRDefault="001C135A" w:rsidP="0088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Викторова Елена Владимировна - руководитель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развития, промышленности и торговли Чувашской Республики</w:t>
            </w:r>
          </w:p>
        </w:tc>
      </w:tr>
      <w:tr w:rsidR="0047093D" w:rsidRPr="00883BC3" w:rsidTr="00883BC3">
        <w:trPr>
          <w:trHeight w:val="20"/>
        </w:trPr>
        <w:tc>
          <w:tcPr>
            <w:tcW w:w="3499" w:type="dxa"/>
          </w:tcPr>
          <w:p w:rsidR="00BF1683" w:rsidRPr="00883BC3" w:rsidRDefault="00BF1683" w:rsidP="00BF1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Дата запроса</w:t>
            </w:r>
          </w:p>
        </w:tc>
        <w:tc>
          <w:tcPr>
            <w:tcW w:w="10631" w:type="dxa"/>
          </w:tcPr>
          <w:p w:rsidR="00BF1683" w:rsidRPr="00883BC3" w:rsidRDefault="001F74DE" w:rsidP="00D0394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3940">
              <w:rPr>
                <w:rFonts w:ascii="Times New Roman" w:hAnsi="Times New Roman"/>
                <w:sz w:val="24"/>
                <w:szCs w:val="24"/>
              </w:rPr>
              <w:t>2</w:t>
            </w:r>
            <w:r w:rsidR="00D03940" w:rsidRPr="00D03940">
              <w:rPr>
                <w:rFonts w:ascii="Times New Roman" w:hAnsi="Times New Roman"/>
                <w:sz w:val="24"/>
                <w:szCs w:val="24"/>
              </w:rPr>
              <w:t>1</w:t>
            </w:r>
            <w:r w:rsidR="0086192A" w:rsidRPr="00D0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94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86192A" w:rsidRPr="00D0394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D03940">
              <w:rPr>
                <w:rFonts w:ascii="Times New Roman" w:hAnsi="Times New Roman"/>
                <w:sz w:val="24"/>
                <w:szCs w:val="24"/>
              </w:rPr>
              <w:t>8</w:t>
            </w:r>
            <w:r w:rsidR="0086192A" w:rsidRPr="00D039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7093D" w:rsidRPr="00883BC3" w:rsidTr="0042594E">
        <w:trPr>
          <w:trHeight w:val="20"/>
        </w:trPr>
        <w:tc>
          <w:tcPr>
            <w:tcW w:w="3499" w:type="dxa"/>
          </w:tcPr>
          <w:p w:rsidR="00BF1683" w:rsidRPr="00883BC3" w:rsidRDefault="00BF1683" w:rsidP="00BF1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Изменяемый параметр проекта</w:t>
            </w:r>
          </w:p>
        </w:tc>
        <w:tc>
          <w:tcPr>
            <w:tcW w:w="10631" w:type="dxa"/>
          </w:tcPr>
          <w:p w:rsidR="00BF1683" w:rsidRPr="00883BC3" w:rsidRDefault="00BF1683" w:rsidP="000578E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sym w:font="Wingdings 2" w:char="F053"/>
            </w:r>
            <w:r w:rsidRPr="00883BC3">
              <w:rPr>
                <w:rFonts w:ascii="Times New Roman" w:hAnsi="Times New Roman"/>
                <w:sz w:val="24"/>
                <w:szCs w:val="24"/>
              </w:rPr>
              <w:t xml:space="preserve"> КТ проекта  </w:t>
            </w:r>
            <w:r w:rsidRPr="00883BC3">
              <w:rPr>
                <w:rFonts w:ascii="Times New Roman" w:hAnsi="Times New Roman"/>
                <w:sz w:val="24"/>
                <w:szCs w:val="24"/>
              </w:rPr>
              <w:sym w:font="Wingdings 2" w:char="F053"/>
            </w:r>
            <w:r w:rsidRPr="00883BC3">
              <w:rPr>
                <w:rFonts w:ascii="Times New Roman" w:hAnsi="Times New Roman"/>
                <w:sz w:val="24"/>
                <w:szCs w:val="24"/>
              </w:rPr>
              <w:t xml:space="preserve"> Бюджет проекта</w:t>
            </w:r>
            <w:r w:rsidR="000865A4" w:rsidRPr="0088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5A4" w:rsidRPr="00883BC3">
              <w:rPr>
                <w:rFonts w:ascii="Times New Roman" w:hAnsi="Times New Roman"/>
                <w:sz w:val="24"/>
                <w:szCs w:val="24"/>
              </w:rPr>
              <w:sym w:font="Wingdings 2" w:char="F053"/>
            </w:r>
            <w:r w:rsidR="00883BC3" w:rsidRPr="00883BC3">
              <w:rPr>
                <w:rFonts w:ascii="Times New Roman" w:hAnsi="Times New Roman"/>
                <w:sz w:val="24"/>
                <w:szCs w:val="24"/>
              </w:rPr>
              <w:t xml:space="preserve"> Участники проекта</w:t>
            </w:r>
          </w:p>
        </w:tc>
      </w:tr>
      <w:tr w:rsidR="0047093D" w:rsidRPr="00883BC3" w:rsidTr="00883BC3">
        <w:trPr>
          <w:trHeight w:val="167"/>
        </w:trPr>
        <w:tc>
          <w:tcPr>
            <w:tcW w:w="3499" w:type="dxa"/>
          </w:tcPr>
          <w:p w:rsidR="00BF1683" w:rsidRPr="00883BC3" w:rsidRDefault="00BF1683" w:rsidP="00BF168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Реквизиты решения проектного комитета</w:t>
            </w:r>
          </w:p>
        </w:tc>
        <w:tc>
          <w:tcPr>
            <w:tcW w:w="10631" w:type="dxa"/>
          </w:tcPr>
          <w:p w:rsidR="00BF1683" w:rsidRPr="00883BC3" w:rsidRDefault="00BF1683" w:rsidP="001F74D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394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052D6D" w:rsidRPr="00D03940">
              <w:rPr>
                <w:rFonts w:ascii="Times New Roman" w:hAnsi="Times New Roman"/>
                <w:sz w:val="24"/>
                <w:szCs w:val="24"/>
              </w:rPr>
              <w:t xml:space="preserve">проектного комитета </w:t>
            </w:r>
            <w:r w:rsidRPr="00D0394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F74DE" w:rsidRPr="00D03940">
              <w:rPr>
                <w:rFonts w:ascii="Times New Roman" w:hAnsi="Times New Roman"/>
                <w:sz w:val="24"/>
                <w:szCs w:val="24"/>
              </w:rPr>
              <w:t>20</w:t>
            </w:r>
            <w:r w:rsidR="00523296" w:rsidRPr="00D03940">
              <w:rPr>
                <w:rFonts w:ascii="Times New Roman" w:hAnsi="Times New Roman"/>
                <w:sz w:val="24"/>
                <w:szCs w:val="24"/>
              </w:rPr>
              <w:t>.</w:t>
            </w:r>
            <w:r w:rsidR="001F74DE" w:rsidRPr="00D03940">
              <w:rPr>
                <w:rFonts w:ascii="Times New Roman" w:hAnsi="Times New Roman"/>
                <w:sz w:val="24"/>
                <w:szCs w:val="24"/>
              </w:rPr>
              <w:t>02</w:t>
            </w:r>
            <w:r w:rsidR="00523296" w:rsidRPr="00D03940">
              <w:rPr>
                <w:rFonts w:ascii="Times New Roman" w:hAnsi="Times New Roman"/>
                <w:sz w:val="24"/>
                <w:szCs w:val="24"/>
              </w:rPr>
              <w:t>.201</w:t>
            </w:r>
            <w:r w:rsidR="001F74DE" w:rsidRPr="00D03940">
              <w:rPr>
                <w:rFonts w:ascii="Times New Roman" w:hAnsi="Times New Roman"/>
                <w:sz w:val="24"/>
                <w:szCs w:val="24"/>
              </w:rPr>
              <w:t>8</w:t>
            </w:r>
            <w:r w:rsidR="00523296" w:rsidRPr="00D0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A4D" w:rsidRPr="00D039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03940" w:rsidRPr="00D03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F1683" w:rsidRPr="00883BC3" w:rsidRDefault="00BF1683" w:rsidP="00BF1683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F1683" w:rsidRPr="00883BC3" w:rsidRDefault="00BF1683" w:rsidP="000578EC">
      <w:pPr>
        <w:pStyle w:val="af1"/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883BC3">
        <w:rPr>
          <w:rFonts w:ascii="Times New Roman" w:eastAsia="Calibri" w:hAnsi="Times New Roman"/>
          <w:sz w:val="24"/>
          <w:szCs w:val="24"/>
        </w:rPr>
        <w:t>Изменение контрольных точек приоритетного проекта</w:t>
      </w:r>
    </w:p>
    <w:p w:rsidR="004110CD" w:rsidRPr="00883BC3" w:rsidRDefault="004110CD" w:rsidP="004110CD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2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888"/>
        <w:gridCol w:w="2115"/>
        <w:gridCol w:w="3828"/>
        <w:gridCol w:w="3260"/>
        <w:gridCol w:w="3518"/>
      </w:tblGrid>
      <w:tr w:rsidR="004B0B0A" w:rsidRPr="00883BC3" w:rsidTr="00883BC3">
        <w:tc>
          <w:tcPr>
            <w:tcW w:w="540" w:type="dxa"/>
            <w:shd w:val="clear" w:color="auto" w:fill="auto"/>
          </w:tcPr>
          <w:p w:rsidR="00B12B43" w:rsidRPr="00883BC3" w:rsidRDefault="00B12B43" w:rsidP="00883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2B43" w:rsidRPr="00883BC3" w:rsidRDefault="00B12B43" w:rsidP="00883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B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B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83BC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8" w:type="dxa"/>
            <w:shd w:val="clear" w:color="auto" w:fill="auto"/>
          </w:tcPr>
          <w:p w:rsidR="00B12B43" w:rsidRPr="00883BC3" w:rsidRDefault="00B12B43" w:rsidP="00883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115" w:type="dxa"/>
            <w:shd w:val="clear" w:color="auto" w:fill="auto"/>
          </w:tcPr>
          <w:p w:rsidR="00B12B43" w:rsidRPr="00883BC3" w:rsidRDefault="00B12B43" w:rsidP="00883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Изменяемый параметр</w:t>
            </w:r>
          </w:p>
        </w:tc>
        <w:tc>
          <w:tcPr>
            <w:tcW w:w="3828" w:type="dxa"/>
            <w:shd w:val="clear" w:color="auto" w:fill="auto"/>
          </w:tcPr>
          <w:p w:rsidR="00B12B43" w:rsidRPr="00883BC3" w:rsidRDefault="00B12B43" w:rsidP="00883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3260" w:type="dxa"/>
            <w:shd w:val="clear" w:color="auto" w:fill="auto"/>
          </w:tcPr>
          <w:p w:rsidR="00B12B43" w:rsidRPr="00883BC3" w:rsidRDefault="00B12B43" w:rsidP="00883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  <w:tc>
          <w:tcPr>
            <w:tcW w:w="3518" w:type="dxa"/>
            <w:shd w:val="clear" w:color="auto" w:fill="auto"/>
          </w:tcPr>
          <w:p w:rsidR="00B12B43" w:rsidRPr="00883BC3" w:rsidRDefault="00B12B43" w:rsidP="00883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Обоснование и анализ изменений</w:t>
            </w:r>
          </w:p>
        </w:tc>
      </w:tr>
      <w:tr w:rsidR="00B12B43" w:rsidRPr="00883BC3" w:rsidTr="00883BC3">
        <w:tc>
          <w:tcPr>
            <w:tcW w:w="14149" w:type="dxa"/>
            <w:gridSpan w:val="6"/>
          </w:tcPr>
          <w:p w:rsidR="00B12B43" w:rsidRPr="00883BC3" w:rsidRDefault="00B12B43" w:rsidP="00042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83BC3">
              <w:rPr>
                <w:rFonts w:ascii="Times New Roman" w:hAnsi="Times New Roman"/>
                <w:i/>
                <w:sz w:val="24"/>
                <w:szCs w:val="24"/>
              </w:rPr>
              <w:t>Паспорт</w:t>
            </w:r>
          </w:p>
        </w:tc>
      </w:tr>
      <w:tr w:rsidR="004B0B0A" w:rsidRPr="00883BC3" w:rsidTr="00883BC3">
        <w:tc>
          <w:tcPr>
            <w:tcW w:w="540" w:type="dxa"/>
          </w:tcPr>
          <w:p w:rsidR="00B12B43" w:rsidRPr="00883BC3" w:rsidRDefault="00B12B43" w:rsidP="002A0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8" w:type="dxa"/>
          </w:tcPr>
          <w:p w:rsidR="00B12B43" w:rsidRPr="00883BC3" w:rsidRDefault="000578EC" w:rsidP="002A0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5" w:type="dxa"/>
          </w:tcPr>
          <w:p w:rsidR="00B12B43" w:rsidRPr="00883BC3" w:rsidRDefault="00B12B43" w:rsidP="00BD29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Наименование КТ</w:t>
            </w:r>
          </w:p>
        </w:tc>
        <w:tc>
          <w:tcPr>
            <w:tcW w:w="3828" w:type="dxa"/>
          </w:tcPr>
          <w:p w:rsidR="00B12B43" w:rsidRPr="00883BC3" w:rsidRDefault="000578EC" w:rsidP="00057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Функционирует 5 окон на базе АУ «МФЦ» г.</w:t>
            </w:r>
            <w:r w:rsidR="00883BC3" w:rsidRPr="00883BC3">
              <w:rPr>
                <w:rFonts w:ascii="Times New Roman" w:hAnsi="Times New Roman"/>
                <w:sz w:val="24"/>
                <w:szCs w:val="24"/>
              </w:rPr>
              <w:t> </w:t>
            </w:r>
            <w:r w:rsidRPr="00883BC3">
              <w:rPr>
                <w:rFonts w:ascii="Times New Roman" w:hAnsi="Times New Roman"/>
                <w:sz w:val="24"/>
                <w:szCs w:val="24"/>
              </w:rPr>
              <w:t>Новочебоксарск (бизнес зона) в г.</w:t>
            </w:r>
            <w:r w:rsidR="00883BC3" w:rsidRPr="00883BC3">
              <w:rPr>
                <w:rFonts w:ascii="Times New Roman" w:hAnsi="Times New Roman"/>
                <w:sz w:val="24"/>
                <w:szCs w:val="24"/>
              </w:rPr>
              <w:t> </w:t>
            </w:r>
            <w:r w:rsidRPr="00883BC3">
              <w:rPr>
                <w:rFonts w:ascii="Times New Roman" w:hAnsi="Times New Roman"/>
                <w:sz w:val="24"/>
                <w:szCs w:val="24"/>
              </w:rPr>
              <w:t>Новочебоксарск, срок – 01.03.2018 г.</w:t>
            </w:r>
          </w:p>
        </w:tc>
        <w:tc>
          <w:tcPr>
            <w:tcW w:w="3260" w:type="dxa"/>
          </w:tcPr>
          <w:p w:rsidR="00B12B43" w:rsidRPr="00883BC3" w:rsidRDefault="000578EC" w:rsidP="004259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>Функционирует 5 окон на базе АУ «МФЦ» г.</w:t>
            </w:r>
            <w:r w:rsidR="00883BC3" w:rsidRPr="00883BC3">
              <w:rPr>
                <w:rFonts w:ascii="Times New Roman" w:hAnsi="Times New Roman"/>
                <w:sz w:val="24"/>
                <w:szCs w:val="24"/>
              </w:rPr>
              <w:t> </w:t>
            </w:r>
            <w:r w:rsidRPr="00883BC3">
              <w:rPr>
                <w:rFonts w:ascii="Times New Roman" w:hAnsi="Times New Roman"/>
                <w:sz w:val="24"/>
                <w:szCs w:val="24"/>
              </w:rPr>
              <w:t>Новочебоксарск</w:t>
            </w:r>
            <w:r w:rsidR="005F7BCA" w:rsidRPr="00883BC3">
              <w:rPr>
                <w:rFonts w:ascii="Times New Roman" w:hAnsi="Times New Roman"/>
                <w:sz w:val="24"/>
                <w:szCs w:val="24"/>
              </w:rPr>
              <w:t xml:space="preserve"> (бизнес зона) в г.</w:t>
            </w:r>
            <w:r w:rsidR="00883BC3" w:rsidRPr="00883BC3">
              <w:rPr>
                <w:rFonts w:ascii="Times New Roman" w:hAnsi="Times New Roman"/>
                <w:sz w:val="24"/>
                <w:szCs w:val="24"/>
              </w:rPr>
              <w:t> </w:t>
            </w:r>
            <w:r w:rsidRPr="00883BC3">
              <w:rPr>
                <w:rFonts w:ascii="Times New Roman" w:hAnsi="Times New Roman"/>
                <w:sz w:val="24"/>
                <w:szCs w:val="24"/>
              </w:rPr>
              <w:t>Новочебоксарск, срок – 01.06.2018 г.</w:t>
            </w:r>
          </w:p>
        </w:tc>
        <w:tc>
          <w:tcPr>
            <w:tcW w:w="3518" w:type="dxa"/>
          </w:tcPr>
          <w:p w:rsidR="008F1773" w:rsidRPr="00883BC3" w:rsidRDefault="008F1773" w:rsidP="004259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 w:rsidR="000578EC" w:rsidRPr="00883BC3">
              <w:rPr>
                <w:rFonts w:ascii="Times New Roman" w:hAnsi="Times New Roman"/>
                <w:sz w:val="24"/>
                <w:szCs w:val="24"/>
              </w:rPr>
              <w:t xml:space="preserve">сроков </w:t>
            </w:r>
            <w:r w:rsidRPr="00883BC3">
              <w:rPr>
                <w:rFonts w:ascii="Times New Roman" w:hAnsi="Times New Roman"/>
                <w:sz w:val="24"/>
                <w:szCs w:val="24"/>
              </w:rPr>
              <w:t xml:space="preserve">финансирования за счет </w:t>
            </w:r>
            <w:r w:rsidR="000578EC" w:rsidRPr="00883BC3">
              <w:rPr>
                <w:rFonts w:ascii="Times New Roman" w:hAnsi="Times New Roman"/>
                <w:sz w:val="24"/>
                <w:szCs w:val="24"/>
              </w:rPr>
              <w:t xml:space="preserve">срока поступления средств из федерального бюджета </w:t>
            </w:r>
          </w:p>
          <w:p w:rsidR="00B12B43" w:rsidRPr="00883BC3" w:rsidRDefault="008F1773" w:rsidP="00042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BC3">
              <w:rPr>
                <w:rFonts w:ascii="Times New Roman" w:hAnsi="Times New Roman"/>
                <w:sz w:val="24"/>
                <w:szCs w:val="24"/>
              </w:rPr>
              <w:t xml:space="preserve">КТ оказывает влияние на </w:t>
            </w:r>
            <w:r w:rsidRPr="00883BC3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проекта</w:t>
            </w:r>
          </w:p>
        </w:tc>
      </w:tr>
    </w:tbl>
    <w:p w:rsidR="00B12B43" w:rsidRPr="00883BC3" w:rsidRDefault="00B12B43" w:rsidP="00BF1683">
      <w:pPr>
        <w:spacing w:after="0" w:line="240" w:lineRule="auto"/>
        <w:ind w:left="720"/>
        <w:contextualSpacing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BF1683" w:rsidRPr="00883BC3" w:rsidRDefault="00BF1683" w:rsidP="000578EC">
      <w:pPr>
        <w:pStyle w:val="af1"/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883BC3">
        <w:rPr>
          <w:rFonts w:ascii="Times New Roman" w:eastAsia="Calibri" w:hAnsi="Times New Roman"/>
          <w:sz w:val="24"/>
          <w:szCs w:val="24"/>
        </w:rPr>
        <w:t>Изменение бюджета приоритетного проекта</w:t>
      </w:r>
    </w:p>
    <w:p w:rsidR="005A1E73" w:rsidRPr="00883BC3" w:rsidRDefault="005A1E73" w:rsidP="005A1E73">
      <w:pPr>
        <w:spacing w:after="0" w:line="240" w:lineRule="auto"/>
        <w:ind w:left="720"/>
        <w:contextualSpacing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tbl>
      <w:tblPr>
        <w:tblStyle w:val="a5"/>
        <w:tblW w:w="14130" w:type="dxa"/>
        <w:tblInd w:w="534" w:type="dxa"/>
        <w:tblLook w:val="04A0" w:firstRow="1" w:lastRow="0" w:firstColumn="1" w:lastColumn="0" w:noHBand="0" w:noVBand="1"/>
      </w:tblPr>
      <w:tblGrid>
        <w:gridCol w:w="540"/>
        <w:gridCol w:w="2720"/>
        <w:gridCol w:w="3118"/>
        <w:gridCol w:w="1843"/>
        <w:gridCol w:w="1418"/>
        <w:gridCol w:w="1559"/>
        <w:gridCol w:w="1417"/>
        <w:gridCol w:w="1515"/>
      </w:tblGrid>
      <w:tr w:rsidR="000578EC" w:rsidRPr="00883BC3" w:rsidTr="00883BC3">
        <w:trPr>
          <w:trHeight w:val="20"/>
        </w:trPr>
        <w:tc>
          <w:tcPr>
            <w:tcW w:w="540" w:type="dxa"/>
            <w:vMerge w:val="restart"/>
          </w:tcPr>
          <w:p w:rsidR="000578EC" w:rsidRPr="00883BC3" w:rsidRDefault="000578EC" w:rsidP="00BF1683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883BC3" w:rsidRPr="00883BC3" w:rsidRDefault="000578EC" w:rsidP="00883BC3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83BC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83BC3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883BC3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838" w:type="dxa"/>
            <w:gridSpan w:val="2"/>
            <w:vMerge w:val="restart"/>
            <w:vAlign w:val="center"/>
          </w:tcPr>
          <w:p w:rsidR="000578EC" w:rsidRPr="00883BC3" w:rsidRDefault="000578EC" w:rsidP="005A1E73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237" w:type="dxa"/>
            <w:gridSpan w:val="4"/>
            <w:vAlign w:val="center"/>
          </w:tcPr>
          <w:p w:rsidR="000578EC" w:rsidRPr="00883BC3" w:rsidRDefault="000578EC" w:rsidP="005A1E73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515" w:type="dxa"/>
            <w:vMerge w:val="restart"/>
            <w:vAlign w:val="center"/>
          </w:tcPr>
          <w:p w:rsidR="000578EC" w:rsidRPr="00883BC3" w:rsidRDefault="000578EC" w:rsidP="005A1E73">
            <w:pPr>
              <w:spacing w:after="0"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0578EC" w:rsidRPr="00883BC3" w:rsidTr="004F3485">
        <w:trPr>
          <w:trHeight w:val="175"/>
        </w:trPr>
        <w:tc>
          <w:tcPr>
            <w:tcW w:w="540" w:type="dxa"/>
            <w:vMerge/>
          </w:tcPr>
          <w:p w:rsidR="000578EC" w:rsidRPr="00883BC3" w:rsidRDefault="000578EC" w:rsidP="00BF1683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8" w:type="dxa"/>
            <w:gridSpan w:val="2"/>
            <w:vMerge/>
          </w:tcPr>
          <w:p w:rsidR="000578EC" w:rsidRPr="00883BC3" w:rsidRDefault="000578EC" w:rsidP="005A1E7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578EC" w:rsidRPr="004F3485" w:rsidRDefault="000578EC" w:rsidP="004F3485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485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8" w:type="dxa"/>
            <w:vAlign w:val="bottom"/>
          </w:tcPr>
          <w:p w:rsidR="000578EC" w:rsidRPr="004F3485" w:rsidRDefault="000578EC" w:rsidP="004F3485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485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bottom"/>
          </w:tcPr>
          <w:p w:rsidR="000578EC" w:rsidRPr="004F3485" w:rsidRDefault="000578EC" w:rsidP="004F3485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485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vAlign w:val="bottom"/>
          </w:tcPr>
          <w:p w:rsidR="000578EC" w:rsidRPr="004F3485" w:rsidRDefault="000578EC" w:rsidP="004F3485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485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15" w:type="dxa"/>
            <w:vMerge/>
          </w:tcPr>
          <w:p w:rsidR="000578EC" w:rsidRPr="00883BC3" w:rsidRDefault="000578EC" w:rsidP="00BF1683">
            <w:pPr>
              <w:spacing w:after="0" w:line="240" w:lineRule="auto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8EC" w:rsidRPr="00883BC3" w:rsidTr="00883BC3">
        <w:trPr>
          <w:trHeight w:val="20"/>
        </w:trPr>
        <w:tc>
          <w:tcPr>
            <w:tcW w:w="540" w:type="dxa"/>
            <w:vMerge w:val="restart"/>
          </w:tcPr>
          <w:p w:rsidR="000578EC" w:rsidRPr="00883BC3" w:rsidRDefault="000578EC" w:rsidP="0042594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0" w:type="dxa"/>
          </w:tcPr>
          <w:p w:rsidR="000578EC" w:rsidRPr="00883BC3" w:rsidRDefault="000578EC" w:rsidP="00883BC3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Действующая редакция</w:t>
            </w:r>
          </w:p>
        </w:tc>
        <w:tc>
          <w:tcPr>
            <w:tcW w:w="3118" w:type="dxa"/>
            <w:vAlign w:val="center"/>
          </w:tcPr>
          <w:p w:rsidR="000578EC" w:rsidRPr="00883BC3" w:rsidRDefault="000578EC" w:rsidP="005A1E73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sz w:val="24"/>
                <w:szCs w:val="24"/>
                <w:u w:color="000000"/>
                <w:lang w:eastAsia="en-US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578EC" w:rsidRPr="00883BC3" w:rsidRDefault="000578EC" w:rsidP="00883BC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578EC" w:rsidRPr="00883BC3" w:rsidRDefault="000578EC" w:rsidP="003224D4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0578EC" w:rsidRPr="00883BC3" w:rsidRDefault="005F4B06" w:rsidP="00B54AF1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ind w:hanging="21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15,0</w:t>
            </w:r>
          </w:p>
        </w:tc>
        <w:tc>
          <w:tcPr>
            <w:tcW w:w="1417" w:type="dxa"/>
          </w:tcPr>
          <w:p w:rsidR="000578EC" w:rsidRPr="004F3485" w:rsidRDefault="005F4B06" w:rsidP="004F3485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3485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0578EC" w:rsidRPr="00883BC3" w:rsidRDefault="005F4B06" w:rsidP="00B54AF1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ind w:hanging="21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30,0</w:t>
            </w:r>
          </w:p>
        </w:tc>
      </w:tr>
      <w:tr w:rsidR="000578EC" w:rsidRPr="00883BC3" w:rsidTr="00883BC3">
        <w:trPr>
          <w:trHeight w:val="20"/>
        </w:trPr>
        <w:tc>
          <w:tcPr>
            <w:tcW w:w="540" w:type="dxa"/>
            <w:vMerge/>
          </w:tcPr>
          <w:p w:rsidR="000578EC" w:rsidRPr="00883BC3" w:rsidRDefault="000578EC" w:rsidP="0042594E">
            <w:pPr>
              <w:spacing w:after="0"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0578EC" w:rsidRPr="00883BC3" w:rsidRDefault="000578EC" w:rsidP="00883BC3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Новая редакция</w:t>
            </w:r>
          </w:p>
        </w:tc>
        <w:tc>
          <w:tcPr>
            <w:tcW w:w="3118" w:type="dxa"/>
            <w:vAlign w:val="center"/>
          </w:tcPr>
          <w:p w:rsidR="000578EC" w:rsidRPr="00883BC3" w:rsidRDefault="000578EC" w:rsidP="005A1E73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sz w:val="24"/>
                <w:szCs w:val="24"/>
                <w:u w:color="000000"/>
                <w:lang w:eastAsia="en-US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0578EC" w:rsidRPr="00883BC3" w:rsidRDefault="005F4B06" w:rsidP="00883BC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8EC" w:rsidRPr="00883BC3" w:rsidRDefault="005F4B06" w:rsidP="00B54AF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</w:rPr>
              <w:t>15,0</w:t>
            </w:r>
            <w:r w:rsidR="000578EC" w:rsidRPr="00883BC3">
              <w:rPr>
                <w:sz w:val="24"/>
                <w:szCs w:val="24"/>
              </w:rPr>
              <w:t>*</w:t>
            </w:r>
            <w:r w:rsidR="003224D4" w:rsidRPr="00883BC3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0578EC" w:rsidRPr="00883BC3" w:rsidRDefault="005F4B06" w:rsidP="00B54AF1">
            <w:pPr>
              <w:tabs>
                <w:tab w:val="left" w:pos="1316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83BC3">
              <w:rPr>
                <w:bCs/>
                <w:sz w:val="24"/>
                <w:szCs w:val="24"/>
                <w:lang w:eastAsia="en-US"/>
              </w:rPr>
              <w:t>9,7</w:t>
            </w:r>
            <w:r w:rsidR="003224D4" w:rsidRPr="00883BC3">
              <w:rPr>
                <w:bCs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7" w:type="dxa"/>
          </w:tcPr>
          <w:p w:rsidR="000578EC" w:rsidRPr="00883BC3" w:rsidRDefault="005F4B06" w:rsidP="00B54AF1">
            <w:pPr>
              <w:tabs>
                <w:tab w:val="left" w:pos="1316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83BC3">
              <w:rPr>
                <w:bCs/>
                <w:sz w:val="24"/>
                <w:szCs w:val="24"/>
                <w:lang w:eastAsia="en-US"/>
              </w:rPr>
              <w:t>5,0</w:t>
            </w:r>
            <w:r w:rsidR="003224D4" w:rsidRPr="00883BC3">
              <w:rPr>
                <w:bCs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15" w:type="dxa"/>
            <w:vAlign w:val="center"/>
          </w:tcPr>
          <w:p w:rsidR="000578EC" w:rsidRPr="00883BC3" w:rsidRDefault="005F4B06" w:rsidP="005F4B06">
            <w:pPr>
              <w:tabs>
                <w:tab w:val="left" w:pos="1316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83BC3">
              <w:rPr>
                <w:bCs/>
                <w:sz w:val="24"/>
                <w:szCs w:val="24"/>
                <w:lang w:eastAsia="en-US"/>
              </w:rPr>
              <w:t>29,7</w:t>
            </w:r>
          </w:p>
        </w:tc>
      </w:tr>
      <w:tr w:rsidR="000578EC" w:rsidRPr="00883BC3" w:rsidTr="00E3231F">
        <w:trPr>
          <w:trHeight w:val="389"/>
        </w:trPr>
        <w:tc>
          <w:tcPr>
            <w:tcW w:w="540" w:type="dxa"/>
            <w:vMerge w:val="restart"/>
          </w:tcPr>
          <w:p w:rsidR="000578EC" w:rsidRPr="00883BC3" w:rsidRDefault="000578EC" w:rsidP="0042594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0" w:type="dxa"/>
            <w:vAlign w:val="center"/>
          </w:tcPr>
          <w:p w:rsidR="000578EC" w:rsidRPr="00883BC3" w:rsidRDefault="000578EC" w:rsidP="00E3231F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Действующая редакция</w:t>
            </w:r>
          </w:p>
        </w:tc>
        <w:tc>
          <w:tcPr>
            <w:tcW w:w="3118" w:type="dxa"/>
          </w:tcPr>
          <w:p w:rsidR="000578EC" w:rsidRPr="00883BC3" w:rsidRDefault="000578EC" w:rsidP="005A1E73">
            <w:pPr>
              <w:spacing w:after="0" w:line="240" w:lineRule="auto"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  <w:u w:color="00000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Align w:val="center"/>
          </w:tcPr>
          <w:p w:rsidR="000578EC" w:rsidRPr="00E3231F" w:rsidRDefault="0026676A" w:rsidP="00E3231F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31F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1418" w:type="dxa"/>
            <w:vAlign w:val="center"/>
          </w:tcPr>
          <w:p w:rsidR="000578EC" w:rsidRPr="00E3231F" w:rsidRDefault="0026676A" w:rsidP="00E3231F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31F">
              <w:rPr>
                <w:rFonts w:eastAsia="Calibri"/>
                <w:sz w:val="24"/>
                <w:szCs w:val="24"/>
                <w:lang w:eastAsia="en-US"/>
              </w:rPr>
              <w:t>6,37</w:t>
            </w:r>
          </w:p>
        </w:tc>
        <w:tc>
          <w:tcPr>
            <w:tcW w:w="1559" w:type="dxa"/>
            <w:vAlign w:val="center"/>
          </w:tcPr>
          <w:p w:rsidR="000578EC" w:rsidRPr="00E3231F" w:rsidRDefault="0026676A" w:rsidP="00E3231F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31F">
              <w:rPr>
                <w:rFonts w:eastAsia="Calibri"/>
                <w:sz w:val="24"/>
                <w:szCs w:val="24"/>
                <w:lang w:eastAsia="en-US"/>
              </w:rPr>
              <w:t>6,89</w:t>
            </w:r>
          </w:p>
        </w:tc>
        <w:tc>
          <w:tcPr>
            <w:tcW w:w="1417" w:type="dxa"/>
            <w:vAlign w:val="center"/>
          </w:tcPr>
          <w:p w:rsidR="000578EC" w:rsidRPr="00E3231F" w:rsidRDefault="0026676A" w:rsidP="00E3231F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31F">
              <w:rPr>
                <w:rFonts w:eastAsia="Calibri"/>
                <w:sz w:val="24"/>
                <w:szCs w:val="24"/>
                <w:lang w:eastAsia="en-US"/>
              </w:rPr>
              <w:t>6,89</w:t>
            </w:r>
          </w:p>
        </w:tc>
        <w:tc>
          <w:tcPr>
            <w:tcW w:w="1515" w:type="dxa"/>
            <w:vAlign w:val="center"/>
          </w:tcPr>
          <w:p w:rsidR="000578EC" w:rsidRPr="00E3231F" w:rsidRDefault="0026676A" w:rsidP="00E3231F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31F">
              <w:rPr>
                <w:rFonts w:eastAsia="Calibri"/>
                <w:sz w:val="24"/>
                <w:szCs w:val="24"/>
                <w:lang w:eastAsia="en-US"/>
              </w:rPr>
              <w:t>22,58</w:t>
            </w:r>
          </w:p>
        </w:tc>
      </w:tr>
      <w:tr w:rsidR="000578EC" w:rsidRPr="00883BC3" w:rsidTr="00E3231F">
        <w:trPr>
          <w:trHeight w:val="20"/>
        </w:trPr>
        <w:tc>
          <w:tcPr>
            <w:tcW w:w="540" w:type="dxa"/>
            <w:vMerge/>
          </w:tcPr>
          <w:p w:rsidR="000578EC" w:rsidRPr="00883BC3" w:rsidRDefault="000578EC" w:rsidP="0042594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vAlign w:val="center"/>
          </w:tcPr>
          <w:p w:rsidR="000578EC" w:rsidRPr="00883BC3" w:rsidRDefault="000578EC" w:rsidP="00E3231F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Новая редакция</w:t>
            </w:r>
          </w:p>
        </w:tc>
        <w:tc>
          <w:tcPr>
            <w:tcW w:w="3118" w:type="dxa"/>
          </w:tcPr>
          <w:p w:rsidR="000578EC" w:rsidRPr="00883BC3" w:rsidRDefault="000578EC" w:rsidP="005A1E73">
            <w:pPr>
              <w:spacing w:after="0" w:line="240" w:lineRule="auto"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  <w:u w:color="00000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Align w:val="center"/>
          </w:tcPr>
          <w:p w:rsidR="000578EC" w:rsidRPr="00883BC3" w:rsidRDefault="0026676A" w:rsidP="00883BC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</w:rPr>
              <w:t>2,54</w:t>
            </w:r>
            <w:r w:rsidR="00B168FD" w:rsidRPr="00883BC3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0578EC" w:rsidRPr="00883BC3" w:rsidRDefault="003224D4" w:rsidP="002A4E6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</w:rPr>
              <w:t>3,68</w:t>
            </w:r>
            <w:r w:rsidR="000578EC" w:rsidRPr="00883BC3">
              <w:rPr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0578EC" w:rsidRPr="00883BC3" w:rsidRDefault="003224D4" w:rsidP="00E3231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</w:rPr>
              <w:t>3,35</w:t>
            </w:r>
            <w:r w:rsidR="00B168FD" w:rsidRPr="00883BC3">
              <w:rPr>
                <w:sz w:val="24"/>
                <w:szCs w:val="24"/>
              </w:rPr>
              <w:t>**</w:t>
            </w:r>
          </w:p>
        </w:tc>
        <w:tc>
          <w:tcPr>
            <w:tcW w:w="1417" w:type="dxa"/>
            <w:vAlign w:val="center"/>
          </w:tcPr>
          <w:p w:rsidR="000578EC" w:rsidRPr="00883BC3" w:rsidRDefault="003224D4" w:rsidP="00E3231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</w:rPr>
              <w:t>3,35</w:t>
            </w:r>
            <w:r w:rsidR="00B168FD" w:rsidRPr="00883BC3">
              <w:rPr>
                <w:sz w:val="24"/>
                <w:szCs w:val="24"/>
              </w:rPr>
              <w:t>**</w:t>
            </w:r>
          </w:p>
        </w:tc>
        <w:tc>
          <w:tcPr>
            <w:tcW w:w="1515" w:type="dxa"/>
            <w:vAlign w:val="center"/>
          </w:tcPr>
          <w:p w:rsidR="000578EC" w:rsidRPr="00883BC3" w:rsidRDefault="003224D4" w:rsidP="002D5D15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</w:rPr>
              <w:t>12,92</w:t>
            </w:r>
          </w:p>
        </w:tc>
      </w:tr>
      <w:tr w:rsidR="000578EC" w:rsidRPr="00883BC3" w:rsidTr="00883BC3">
        <w:trPr>
          <w:trHeight w:val="20"/>
        </w:trPr>
        <w:tc>
          <w:tcPr>
            <w:tcW w:w="540" w:type="dxa"/>
            <w:vMerge w:val="restart"/>
          </w:tcPr>
          <w:p w:rsidR="000578EC" w:rsidRPr="00883BC3" w:rsidRDefault="000578EC" w:rsidP="0042594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0" w:type="dxa"/>
          </w:tcPr>
          <w:p w:rsidR="000578EC" w:rsidRPr="00883BC3" w:rsidRDefault="000578EC" w:rsidP="00883BC3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Действующая редакция</w:t>
            </w:r>
          </w:p>
        </w:tc>
        <w:tc>
          <w:tcPr>
            <w:tcW w:w="3118" w:type="dxa"/>
            <w:vAlign w:val="center"/>
          </w:tcPr>
          <w:p w:rsidR="000578EC" w:rsidRPr="00883BC3" w:rsidRDefault="000578EC" w:rsidP="00F24161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0578EC" w:rsidRPr="00883BC3" w:rsidRDefault="0026676A" w:rsidP="00883BC3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0,7</w:t>
            </w:r>
          </w:p>
        </w:tc>
        <w:tc>
          <w:tcPr>
            <w:tcW w:w="1418" w:type="dxa"/>
            <w:vAlign w:val="center"/>
          </w:tcPr>
          <w:p w:rsidR="000578EC" w:rsidRPr="00883BC3" w:rsidRDefault="0026676A" w:rsidP="00F24161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2,23</w:t>
            </w:r>
          </w:p>
        </w:tc>
        <w:tc>
          <w:tcPr>
            <w:tcW w:w="1559" w:type="dxa"/>
          </w:tcPr>
          <w:p w:rsidR="000578EC" w:rsidRPr="00883BC3" w:rsidRDefault="0026676A" w:rsidP="0026676A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4,85</w:t>
            </w:r>
          </w:p>
        </w:tc>
        <w:tc>
          <w:tcPr>
            <w:tcW w:w="1417" w:type="dxa"/>
          </w:tcPr>
          <w:p w:rsidR="000578EC" w:rsidRPr="00883BC3" w:rsidRDefault="0026676A" w:rsidP="00F24161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5,33</w:t>
            </w:r>
          </w:p>
        </w:tc>
        <w:tc>
          <w:tcPr>
            <w:tcW w:w="1515" w:type="dxa"/>
            <w:vAlign w:val="center"/>
          </w:tcPr>
          <w:p w:rsidR="000578EC" w:rsidRPr="00883BC3" w:rsidRDefault="0026676A" w:rsidP="00F24161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13,12</w:t>
            </w:r>
          </w:p>
        </w:tc>
      </w:tr>
      <w:tr w:rsidR="000578EC" w:rsidRPr="00883BC3" w:rsidTr="00883BC3">
        <w:trPr>
          <w:trHeight w:val="20"/>
        </w:trPr>
        <w:tc>
          <w:tcPr>
            <w:tcW w:w="540" w:type="dxa"/>
            <w:vMerge/>
          </w:tcPr>
          <w:p w:rsidR="000578EC" w:rsidRPr="00883BC3" w:rsidRDefault="000578EC" w:rsidP="0042594E">
            <w:pPr>
              <w:spacing w:after="0"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0578EC" w:rsidRPr="00883BC3" w:rsidRDefault="000578EC" w:rsidP="00883BC3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Новая редакция</w:t>
            </w:r>
          </w:p>
        </w:tc>
        <w:tc>
          <w:tcPr>
            <w:tcW w:w="3118" w:type="dxa"/>
            <w:vAlign w:val="center"/>
          </w:tcPr>
          <w:p w:rsidR="000578EC" w:rsidRPr="00883BC3" w:rsidRDefault="000578EC" w:rsidP="00F24161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0578EC" w:rsidRPr="00883BC3" w:rsidRDefault="0026676A" w:rsidP="00883BC3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0,77</w:t>
            </w:r>
          </w:p>
        </w:tc>
        <w:tc>
          <w:tcPr>
            <w:tcW w:w="1418" w:type="dxa"/>
            <w:vAlign w:val="center"/>
          </w:tcPr>
          <w:p w:rsidR="000578EC" w:rsidRPr="00883BC3" w:rsidRDefault="003224D4" w:rsidP="00F24161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2,2</w:t>
            </w:r>
          </w:p>
        </w:tc>
        <w:tc>
          <w:tcPr>
            <w:tcW w:w="1559" w:type="dxa"/>
          </w:tcPr>
          <w:p w:rsidR="000578EC" w:rsidRPr="00883BC3" w:rsidRDefault="003224D4" w:rsidP="00F24161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4,9</w:t>
            </w:r>
          </w:p>
        </w:tc>
        <w:tc>
          <w:tcPr>
            <w:tcW w:w="1417" w:type="dxa"/>
          </w:tcPr>
          <w:p w:rsidR="000578EC" w:rsidRPr="00883BC3" w:rsidRDefault="003224D4" w:rsidP="00F24161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5,3</w:t>
            </w:r>
          </w:p>
        </w:tc>
        <w:tc>
          <w:tcPr>
            <w:tcW w:w="1515" w:type="dxa"/>
            <w:vAlign w:val="center"/>
          </w:tcPr>
          <w:p w:rsidR="000578EC" w:rsidRPr="00883BC3" w:rsidRDefault="003224D4" w:rsidP="00F24161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Cs/>
                <w:sz w:val="24"/>
                <w:szCs w:val="24"/>
                <w:u w:color="000000"/>
                <w:lang w:eastAsia="en-US"/>
              </w:rPr>
              <w:t>13,17</w:t>
            </w:r>
          </w:p>
        </w:tc>
      </w:tr>
      <w:tr w:rsidR="000578EC" w:rsidRPr="00883BC3" w:rsidTr="00883BC3">
        <w:trPr>
          <w:trHeight w:val="20"/>
        </w:trPr>
        <w:tc>
          <w:tcPr>
            <w:tcW w:w="540" w:type="dxa"/>
            <w:vMerge w:val="restart"/>
          </w:tcPr>
          <w:p w:rsidR="000578EC" w:rsidRPr="00883BC3" w:rsidRDefault="000865A4" w:rsidP="0042594E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578EC" w:rsidRPr="00883B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0" w:type="dxa"/>
          </w:tcPr>
          <w:p w:rsidR="000578EC" w:rsidRPr="00883BC3" w:rsidRDefault="000578EC" w:rsidP="00883BC3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Действующая редакция</w:t>
            </w:r>
          </w:p>
        </w:tc>
        <w:tc>
          <w:tcPr>
            <w:tcW w:w="3118" w:type="dxa"/>
            <w:vAlign w:val="center"/>
          </w:tcPr>
          <w:p w:rsidR="000578EC" w:rsidRPr="00883BC3" w:rsidRDefault="000578EC" w:rsidP="004A705F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578EC" w:rsidRPr="00883BC3" w:rsidRDefault="00974AFC" w:rsidP="00883BC3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/>
                <w:bCs/>
                <w:sz w:val="24"/>
                <w:szCs w:val="24"/>
                <w:u w:color="000000"/>
                <w:lang w:eastAsia="en-US"/>
              </w:rPr>
              <w:t>3,12</w:t>
            </w:r>
          </w:p>
        </w:tc>
        <w:tc>
          <w:tcPr>
            <w:tcW w:w="1418" w:type="dxa"/>
            <w:vAlign w:val="center"/>
          </w:tcPr>
          <w:p w:rsidR="000578EC" w:rsidRPr="00883BC3" w:rsidRDefault="00974AFC" w:rsidP="004A705F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/>
                <w:bCs/>
                <w:sz w:val="24"/>
                <w:szCs w:val="24"/>
                <w:u w:color="000000"/>
                <w:lang w:eastAsia="en-US"/>
              </w:rPr>
              <w:t>23,60</w:t>
            </w:r>
          </w:p>
        </w:tc>
        <w:tc>
          <w:tcPr>
            <w:tcW w:w="1559" w:type="dxa"/>
          </w:tcPr>
          <w:p w:rsidR="000578EC" w:rsidRPr="00883BC3" w:rsidRDefault="00974AFC" w:rsidP="004A705F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/>
                <w:bCs/>
                <w:sz w:val="24"/>
                <w:szCs w:val="24"/>
                <w:u w:color="000000"/>
                <w:lang w:eastAsia="en-US"/>
              </w:rPr>
              <w:t>26,74</w:t>
            </w:r>
          </w:p>
        </w:tc>
        <w:tc>
          <w:tcPr>
            <w:tcW w:w="1417" w:type="dxa"/>
          </w:tcPr>
          <w:p w:rsidR="000578EC" w:rsidRPr="00883BC3" w:rsidRDefault="00974AFC" w:rsidP="004A705F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/>
                <w:bCs/>
                <w:sz w:val="24"/>
                <w:szCs w:val="24"/>
                <w:u w:color="000000"/>
                <w:lang w:eastAsia="en-US"/>
              </w:rPr>
              <w:t>12,22</w:t>
            </w:r>
          </w:p>
        </w:tc>
        <w:tc>
          <w:tcPr>
            <w:tcW w:w="1515" w:type="dxa"/>
            <w:vAlign w:val="center"/>
          </w:tcPr>
          <w:p w:rsidR="000578EC" w:rsidRPr="00883BC3" w:rsidRDefault="00974AFC" w:rsidP="004A705F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883BC3">
              <w:rPr>
                <w:b/>
                <w:bCs/>
                <w:sz w:val="24"/>
                <w:szCs w:val="24"/>
                <w:u w:color="000000"/>
                <w:lang w:eastAsia="en-US"/>
              </w:rPr>
              <w:t>65,70</w:t>
            </w:r>
          </w:p>
        </w:tc>
      </w:tr>
      <w:tr w:rsidR="000578EC" w:rsidRPr="00883BC3" w:rsidTr="00883BC3">
        <w:trPr>
          <w:trHeight w:val="20"/>
        </w:trPr>
        <w:tc>
          <w:tcPr>
            <w:tcW w:w="540" w:type="dxa"/>
            <w:vMerge/>
          </w:tcPr>
          <w:p w:rsidR="000578EC" w:rsidRPr="00883BC3" w:rsidRDefault="000578EC" w:rsidP="004A705F">
            <w:pPr>
              <w:spacing w:after="0" w:line="240" w:lineRule="auto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0578EC" w:rsidRPr="00883BC3" w:rsidRDefault="000578EC" w:rsidP="00883BC3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Новая редакция</w:t>
            </w:r>
          </w:p>
        </w:tc>
        <w:tc>
          <w:tcPr>
            <w:tcW w:w="3118" w:type="dxa"/>
            <w:vAlign w:val="center"/>
          </w:tcPr>
          <w:p w:rsidR="000578EC" w:rsidRPr="00883BC3" w:rsidRDefault="000578EC" w:rsidP="004A705F">
            <w:pPr>
              <w:spacing w:after="0" w:line="240" w:lineRule="auto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578EC" w:rsidRPr="00883BC3" w:rsidRDefault="00974AFC" w:rsidP="00883BC3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3BC3">
              <w:rPr>
                <w:b/>
                <w:bCs/>
                <w:sz w:val="24"/>
                <w:szCs w:val="24"/>
                <w:lang w:eastAsia="en-US"/>
              </w:rPr>
              <w:t>3,31</w:t>
            </w:r>
          </w:p>
        </w:tc>
        <w:tc>
          <w:tcPr>
            <w:tcW w:w="1418" w:type="dxa"/>
            <w:vAlign w:val="center"/>
          </w:tcPr>
          <w:p w:rsidR="000578EC" w:rsidRPr="00883BC3" w:rsidRDefault="00B168FD" w:rsidP="004A705F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3BC3">
              <w:rPr>
                <w:b/>
                <w:bCs/>
                <w:sz w:val="24"/>
                <w:szCs w:val="24"/>
                <w:lang w:eastAsia="en-US"/>
              </w:rPr>
              <w:t>20,88</w:t>
            </w:r>
          </w:p>
        </w:tc>
        <w:tc>
          <w:tcPr>
            <w:tcW w:w="1559" w:type="dxa"/>
          </w:tcPr>
          <w:p w:rsidR="000578EC" w:rsidRPr="00883BC3" w:rsidRDefault="00B168FD" w:rsidP="004A705F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3BC3">
              <w:rPr>
                <w:b/>
                <w:bCs/>
                <w:sz w:val="24"/>
                <w:szCs w:val="24"/>
                <w:lang w:eastAsia="en-US"/>
              </w:rPr>
              <w:t>17,95</w:t>
            </w:r>
          </w:p>
        </w:tc>
        <w:tc>
          <w:tcPr>
            <w:tcW w:w="1417" w:type="dxa"/>
          </w:tcPr>
          <w:p w:rsidR="000578EC" w:rsidRPr="00883BC3" w:rsidRDefault="00B168FD" w:rsidP="004A705F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3BC3">
              <w:rPr>
                <w:b/>
                <w:bCs/>
                <w:sz w:val="24"/>
                <w:szCs w:val="24"/>
                <w:lang w:eastAsia="en-US"/>
              </w:rPr>
              <w:t>13,65</w:t>
            </w:r>
          </w:p>
        </w:tc>
        <w:tc>
          <w:tcPr>
            <w:tcW w:w="1515" w:type="dxa"/>
            <w:vAlign w:val="center"/>
          </w:tcPr>
          <w:p w:rsidR="000578EC" w:rsidRPr="00883BC3" w:rsidRDefault="00B168FD" w:rsidP="004A705F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3BC3">
              <w:rPr>
                <w:b/>
                <w:bCs/>
                <w:sz w:val="24"/>
                <w:szCs w:val="24"/>
                <w:lang w:eastAsia="en-US"/>
              </w:rPr>
              <w:t>55,79</w:t>
            </w:r>
          </w:p>
        </w:tc>
      </w:tr>
    </w:tbl>
    <w:p w:rsidR="002A4E63" w:rsidRPr="00883BC3" w:rsidRDefault="002A4E63" w:rsidP="002A4E63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B168FD" w:rsidRPr="00883BC3" w:rsidRDefault="002A4E63" w:rsidP="00883BC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3BC3">
        <w:rPr>
          <w:rFonts w:ascii="Times New Roman" w:eastAsia="Calibri" w:hAnsi="Times New Roman"/>
          <w:sz w:val="24"/>
          <w:szCs w:val="24"/>
          <w:lang w:eastAsia="en-US"/>
        </w:rPr>
        <w:t>*</w:t>
      </w:r>
      <w:r w:rsidR="00883BC3" w:rsidRPr="00883BC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883BC3">
        <w:rPr>
          <w:rFonts w:ascii="Times New Roman" w:eastAsia="Calibri" w:hAnsi="Times New Roman"/>
          <w:sz w:val="24"/>
          <w:szCs w:val="24"/>
          <w:lang w:eastAsia="en-US"/>
        </w:rPr>
        <w:t xml:space="preserve">Объем финансирования из средств республиканского бюджета Чувашской Республики предусмотрен Законом Чувашской Республики </w:t>
      </w:r>
      <w:r w:rsidR="00883BC3" w:rsidRPr="00883BC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883BC3">
        <w:rPr>
          <w:rFonts w:ascii="Times New Roman" w:eastAsia="Calibri" w:hAnsi="Times New Roman"/>
          <w:sz w:val="24"/>
          <w:szCs w:val="24"/>
          <w:lang w:eastAsia="en-US"/>
        </w:rPr>
        <w:t>«О республиканском бюджете Чувашской Республики на 2017 год и на плановый период 2018 и 2019 г</w:t>
      </w:r>
      <w:r w:rsidR="00B168FD" w:rsidRPr="00883BC3">
        <w:rPr>
          <w:rFonts w:ascii="Times New Roman" w:eastAsia="Calibri" w:hAnsi="Times New Roman"/>
          <w:sz w:val="24"/>
          <w:szCs w:val="24"/>
          <w:lang w:eastAsia="en-US"/>
        </w:rPr>
        <w:t>одов</w:t>
      </w:r>
      <w:r w:rsidRPr="00883BC3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781F3D" w:rsidRPr="00883BC3">
        <w:rPr>
          <w:rFonts w:ascii="Times New Roman" w:eastAsia="Calibri" w:hAnsi="Times New Roman"/>
          <w:sz w:val="24"/>
          <w:szCs w:val="24"/>
          <w:lang w:eastAsia="en-US"/>
        </w:rPr>
        <w:t xml:space="preserve"> от 07.12.2016 № 92 (ред. от 10.11.2017 №</w:t>
      </w:r>
      <w:r w:rsidR="00883BC3" w:rsidRPr="00883BC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781F3D" w:rsidRPr="00883BC3">
        <w:rPr>
          <w:rFonts w:ascii="Times New Roman" w:eastAsia="Calibri" w:hAnsi="Times New Roman"/>
          <w:sz w:val="24"/>
          <w:szCs w:val="24"/>
          <w:lang w:eastAsia="en-US"/>
        </w:rPr>
        <w:t>67)</w:t>
      </w:r>
      <w:r w:rsidR="00B168FD" w:rsidRPr="00883BC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A4E63" w:rsidRPr="00883BC3" w:rsidRDefault="00B168FD" w:rsidP="00883BC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3BC3">
        <w:rPr>
          <w:rFonts w:ascii="Times New Roman" w:eastAsia="Calibri" w:hAnsi="Times New Roman"/>
          <w:sz w:val="24"/>
          <w:szCs w:val="24"/>
          <w:lang w:eastAsia="en-US"/>
        </w:rPr>
        <w:t>**</w:t>
      </w:r>
      <w:r w:rsidR="00883BC3" w:rsidRPr="00883BC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883BC3">
        <w:rPr>
          <w:rFonts w:ascii="Times New Roman" w:eastAsia="Calibri" w:hAnsi="Times New Roman"/>
          <w:sz w:val="24"/>
          <w:szCs w:val="24"/>
          <w:lang w:eastAsia="en-US"/>
        </w:rPr>
        <w:t>Объем финансирования из средств республиканского бюджета Чувашской Республики предусмотрен Законом Чувашской Республики «О республиканском бюджете Чувашской Республики на 2018 год и на плановый период 2019 и 2020 годов»</w:t>
      </w:r>
      <w:r w:rsidR="00781F3D" w:rsidRPr="00883BC3">
        <w:rPr>
          <w:rFonts w:ascii="Times New Roman" w:eastAsia="Calibri" w:hAnsi="Times New Roman"/>
          <w:sz w:val="24"/>
          <w:szCs w:val="24"/>
          <w:lang w:eastAsia="en-US"/>
        </w:rPr>
        <w:t xml:space="preserve"> от 01.12.2017 № 71 (ред. от 08.02.2018 №</w:t>
      </w:r>
      <w:r w:rsidR="00883BC3" w:rsidRPr="00883BC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781F3D" w:rsidRPr="00883BC3">
        <w:rPr>
          <w:rFonts w:ascii="Times New Roman" w:eastAsia="Calibri" w:hAnsi="Times New Roman"/>
          <w:sz w:val="24"/>
          <w:szCs w:val="24"/>
          <w:lang w:eastAsia="en-US"/>
        </w:rPr>
        <w:t>1).</w:t>
      </w:r>
    </w:p>
    <w:p w:rsidR="00883BC3" w:rsidRPr="00883BC3" w:rsidRDefault="00883BC3" w:rsidP="0042594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B5E1D" w:rsidRPr="00883BC3" w:rsidRDefault="00AA3F91" w:rsidP="00883BC3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83BC3">
        <w:rPr>
          <w:rFonts w:ascii="Times New Roman" w:eastAsia="Calibri" w:hAnsi="Times New Roman"/>
          <w:sz w:val="24"/>
          <w:szCs w:val="24"/>
          <w:lang w:eastAsia="en-US"/>
        </w:rPr>
        <w:t>Обоснование и анализ изменений</w:t>
      </w:r>
      <w:r w:rsidR="009B4A5B" w:rsidRPr="00883BC3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883BC3" w:rsidRPr="00883BC3" w:rsidRDefault="00883BC3" w:rsidP="0042594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917"/>
        <w:gridCol w:w="9258"/>
      </w:tblGrid>
      <w:tr w:rsidR="00FB30B3" w:rsidRPr="00883BC3" w:rsidTr="00883BC3">
        <w:tc>
          <w:tcPr>
            <w:tcW w:w="4917" w:type="dxa"/>
          </w:tcPr>
          <w:p w:rsidR="004B5E1D" w:rsidRPr="00883BC3" w:rsidRDefault="005A1E73" w:rsidP="0042594E">
            <w:pPr>
              <w:spacing w:after="0" w:line="240" w:lineRule="auto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Причины и обоснование необходимости изменений</w:t>
            </w:r>
          </w:p>
        </w:tc>
        <w:tc>
          <w:tcPr>
            <w:tcW w:w="9258" w:type="dxa"/>
          </w:tcPr>
          <w:p w:rsidR="00144161" w:rsidRPr="00883BC3" w:rsidRDefault="0042594E" w:rsidP="0042594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</w:t>
            </w:r>
            <w:r>
              <w:rPr>
                <w:rFonts w:eastAsia="Calibri"/>
              </w:rPr>
              <w:t> </w:t>
            </w:r>
            <w:r w:rsidR="00F83DEC" w:rsidRPr="00883BC3">
              <w:rPr>
                <w:rFonts w:eastAsia="Calibri"/>
                <w:sz w:val="24"/>
                <w:szCs w:val="24"/>
                <w:lang w:eastAsia="en-US"/>
              </w:rPr>
              <w:t>Внесение изменений в объем</w:t>
            </w:r>
            <w:r w:rsidR="009B4A5B" w:rsidRPr="00883BC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F83DEC" w:rsidRPr="00883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B4A5B" w:rsidRPr="00883BC3">
              <w:rPr>
                <w:rFonts w:eastAsia="Calibri"/>
                <w:sz w:val="24"/>
                <w:szCs w:val="24"/>
                <w:lang w:eastAsia="en-US"/>
              </w:rPr>
              <w:t>финансирования</w:t>
            </w:r>
            <w:r w:rsidR="00F83DEC" w:rsidRPr="00883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85F6A" w:rsidRPr="00883BC3">
              <w:rPr>
                <w:rFonts w:eastAsia="Calibri"/>
                <w:sz w:val="24"/>
                <w:szCs w:val="24"/>
                <w:lang w:eastAsia="en-US"/>
              </w:rPr>
              <w:t xml:space="preserve">в сторону увеличения </w:t>
            </w:r>
            <w:r w:rsidR="00DF6B36" w:rsidRPr="00883BC3">
              <w:rPr>
                <w:rFonts w:eastAsia="Calibri"/>
                <w:sz w:val="24"/>
                <w:szCs w:val="24"/>
                <w:lang w:eastAsia="en-US"/>
              </w:rPr>
              <w:t xml:space="preserve">за 2017 год </w:t>
            </w:r>
            <w:r w:rsidR="00730C1A" w:rsidRPr="00883BC3">
              <w:rPr>
                <w:rFonts w:eastAsia="Calibri"/>
                <w:sz w:val="24"/>
                <w:szCs w:val="24"/>
                <w:lang w:eastAsia="en-US"/>
              </w:rPr>
              <w:t>обусловлено</w:t>
            </w:r>
            <w:r w:rsidR="00C5443B" w:rsidRPr="00883BC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C5443B" w:rsidRPr="00883BC3">
              <w:rPr>
                <w:rFonts w:eastAsia="Calibri"/>
                <w:sz w:val="24"/>
                <w:szCs w:val="24"/>
                <w:lang w:eastAsia="en-US"/>
              </w:rPr>
              <w:t>тем</w:t>
            </w:r>
            <w:proofErr w:type="gramEnd"/>
            <w:r w:rsidR="00C5443B" w:rsidRPr="00883BC3">
              <w:rPr>
                <w:rFonts w:eastAsia="Calibri"/>
                <w:sz w:val="24"/>
                <w:szCs w:val="24"/>
                <w:lang w:eastAsia="en-US"/>
              </w:rPr>
              <w:t xml:space="preserve"> что </w:t>
            </w:r>
            <w:r w:rsidR="00144161" w:rsidRPr="00883BC3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мероприятий приоритетного проекта </w:t>
            </w:r>
            <w:r w:rsidR="00B168FD" w:rsidRPr="00883BC3">
              <w:rPr>
                <w:rFonts w:eastAsia="Calibri"/>
                <w:sz w:val="24"/>
                <w:szCs w:val="24"/>
                <w:lang w:eastAsia="en-US"/>
              </w:rPr>
              <w:t>были</w:t>
            </w:r>
            <w:r w:rsidR="00C5443B" w:rsidRPr="00883BC3">
              <w:rPr>
                <w:rFonts w:eastAsia="Calibri"/>
                <w:sz w:val="24"/>
                <w:szCs w:val="24"/>
                <w:lang w:eastAsia="en-US"/>
              </w:rPr>
              <w:t xml:space="preserve"> выделен</w:t>
            </w:r>
            <w:r w:rsidR="00B168FD" w:rsidRPr="00883BC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C5443B" w:rsidRPr="00883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68FD" w:rsidRPr="00883BC3">
              <w:rPr>
                <w:rFonts w:eastAsia="Calibri"/>
                <w:sz w:val="24"/>
                <w:szCs w:val="24"/>
                <w:lang w:eastAsia="en-US"/>
              </w:rPr>
              <w:t xml:space="preserve">средства республиканского бюджета </w:t>
            </w:r>
            <w:r w:rsidR="000865A4" w:rsidRPr="00883BC3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B168FD" w:rsidRPr="00883BC3">
              <w:rPr>
                <w:rFonts w:eastAsia="Calibri"/>
                <w:sz w:val="24"/>
                <w:szCs w:val="24"/>
                <w:lang w:eastAsia="en-US"/>
              </w:rPr>
              <w:t xml:space="preserve">увашской </w:t>
            </w:r>
            <w:r w:rsidR="000865A4" w:rsidRPr="00883BC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B168FD" w:rsidRPr="00883BC3">
              <w:rPr>
                <w:rFonts w:eastAsia="Calibri"/>
                <w:sz w:val="24"/>
                <w:szCs w:val="24"/>
                <w:lang w:eastAsia="en-US"/>
              </w:rPr>
              <w:t>еспублики, необходимые для финансирования функционирования окон для бизнеса АУ ЧР «МФЦ» Минэкономразвития Чувашии</w:t>
            </w:r>
            <w:r w:rsidR="00144161" w:rsidRPr="00883BC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F6B36" w:rsidRPr="00883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B4A5B" w:rsidRPr="00883BC3" w:rsidRDefault="0042594E" w:rsidP="0042594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2) </w:t>
            </w:r>
            <w:r w:rsidR="00C5443B" w:rsidRPr="00883BC3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объемы финансирования </w:t>
            </w:r>
            <w:r w:rsidR="00585F6A" w:rsidRPr="00883BC3">
              <w:rPr>
                <w:rFonts w:eastAsia="Calibri"/>
                <w:sz w:val="24"/>
                <w:szCs w:val="24"/>
                <w:lang w:eastAsia="en-US"/>
              </w:rPr>
              <w:t xml:space="preserve">в сторону уменьшения </w:t>
            </w:r>
            <w:r w:rsidR="005F7BCA" w:rsidRPr="00883BC3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85F6A" w:rsidRPr="00883BC3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5F7BCA" w:rsidRPr="00883BC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585F6A" w:rsidRPr="00883BC3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5F7BCA" w:rsidRPr="00883BC3">
              <w:rPr>
                <w:rFonts w:eastAsia="Calibri"/>
                <w:sz w:val="24"/>
                <w:szCs w:val="24"/>
                <w:lang w:eastAsia="en-US"/>
              </w:rPr>
              <w:t xml:space="preserve">у и увеличения в 2020 году средств федерального бюджета, а также уточнения </w:t>
            </w:r>
            <w:r w:rsidR="005F7BCA" w:rsidRPr="00883B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финансирования мероприятий проекта в 2018 – 2020 годах </w:t>
            </w:r>
            <w:r w:rsidR="00585F6A" w:rsidRPr="00883BC3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</w:t>
            </w:r>
            <w:r w:rsidR="00FB30B3" w:rsidRPr="00883BC3">
              <w:rPr>
                <w:rFonts w:eastAsia="Calibri"/>
                <w:sz w:val="24"/>
                <w:szCs w:val="24"/>
                <w:lang w:eastAsia="en-US"/>
              </w:rPr>
              <w:t>республиканского бюджета Чувашской Республики</w:t>
            </w:r>
            <w:r w:rsidR="005F7BCA" w:rsidRPr="00883B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B30B3" w:rsidRPr="00883BC3" w:rsidTr="00883BC3">
        <w:tc>
          <w:tcPr>
            <w:tcW w:w="4917" w:type="dxa"/>
          </w:tcPr>
          <w:p w:rsidR="004B5E1D" w:rsidRPr="00883BC3" w:rsidRDefault="007F3971" w:rsidP="0042594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lastRenderedPageBreak/>
              <w:t>Анализ изменений и их влияния на параметры проекта и иные проекты</w:t>
            </w:r>
          </w:p>
        </w:tc>
        <w:tc>
          <w:tcPr>
            <w:tcW w:w="9258" w:type="dxa"/>
          </w:tcPr>
          <w:p w:rsidR="004B5E1D" w:rsidRPr="00883BC3" w:rsidRDefault="00D13468" w:rsidP="00D1346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Вносимые изменения не оказывают влияния на параметры проекта</w:t>
            </w:r>
          </w:p>
        </w:tc>
      </w:tr>
    </w:tbl>
    <w:p w:rsidR="0042594E" w:rsidRDefault="0042594E" w:rsidP="0042594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F1683" w:rsidRPr="00883BC3" w:rsidRDefault="00052D6D" w:rsidP="000578EC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83BC3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Изменение прочих параметров </w:t>
      </w:r>
      <w:r w:rsidR="002517C6" w:rsidRPr="00883BC3">
        <w:rPr>
          <w:rFonts w:ascii="Times New Roman" w:eastAsia="Calibri" w:hAnsi="Times New Roman"/>
          <w:sz w:val="24"/>
          <w:szCs w:val="24"/>
          <w:lang w:eastAsia="en-US"/>
        </w:rPr>
        <w:t xml:space="preserve">паспорта </w:t>
      </w:r>
      <w:r w:rsidRPr="00883BC3">
        <w:rPr>
          <w:rFonts w:ascii="Times New Roman" w:eastAsia="Calibri" w:hAnsi="Times New Roman"/>
          <w:sz w:val="24"/>
          <w:szCs w:val="24"/>
          <w:lang w:eastAsia="en-US"/>
        </w:rPr>
        <w:t>приоритетного проекта</w:t>
      </w:r>
    </w:p>
    <w:p w:rsidR="00BF1683" w:rsidRPr="00883BC3" w:rsidRDefault="00BF1683" w:rsidP="00BF168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5"/>
        <w:tblW w:w="14177" w:type="dxa"/>
        <w:tblInd w:w="532" w:type="dxa"/>
        <w:tblLook w:val="04A0" w:firstRow="1" w:lastRow="0" w:firstColumn="1" w:lastColumn="0" w:noHBand="0" w:noVBand="1"/>
      </w:tblPr>
      <w:tblGrid>
        <w:gridCol w:w="540"/>
        <w:gridCol w:w="5180"/>
        <w:gridCol w:w="4771"/>
        <w:gridCol w:w="3686"/>
      </w:tblGrid>
      <w:tr w:rsidR="00662DC2" w:rsidRPr="00883BC3" w:rsidTr="0042594E">
        <w:tc>
          <w:tcPr>
            <w:tcW w:w="540" w:type="dxa"/>
          </w:tcPr>
          <w:p w:rsidR="002517C6" w:rsidRPr="00883BC3" w:rsidRDefault="002517C6" w:rsidP="002517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2517C6" w:rsidRPr="00883BC3" w:rsidRDefault="002517C6" w:rsidP="002517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83BC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83BC3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883BC3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180" w:type="dxa"/>
          </w:tcPr>
          <w:p w:rsidR="002517C6" w:rsidRPr="00883BC3" w:rsidRDefault="002517C6" w:rsidP="00BF168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Действующая редакция</w:t>
            </w:r>
          </w:p>
        </w:tc>
        <w:tc>
          <w:tcPr>
            <w:tcW w:w="4771" w:type="dxa"/>
          </w:tcPr>
          <w:p w:rsidR="002517C6" w:rsidRPr="00883BC3" w:rsidRDefault="002517C6" w:rsidP="002517C6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Новая редакция</w:t>
            </w:r>
          </w:p>
        </w:tc>
        <w:tc>
          <w:tcPr>
            <w:tcW w:w="3686" w:type="dxa"/>
          </w:tcPr>
          <w:p w:rsidR="002517C6" w:rsidRPr="00883BC3" w:rsidRDefault="002517C6" w:rsidP="00BF168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Обоснование и анализ изменений</w:t>
            </w:r>
          </w:p>
        </w:tc>
      </w:tr>
      <w:tr w:rsidR="0047093D" w:rsidRPr="00883BC3" w:rsidTr="00883BC3">
        <w:tc>
          <w:tcPr>
            <w:tcW w:w="14177" w:type="dxa"/>
            <w:gridSpan w:val="4"/>
          </w:tcPr>
          <w:p w:rsidR="002517C6" w:rsidRPr="00883BC3" w:rsidRDefault="002517C6" w:rsidP="00BF1683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Ключевые участники проекта</w:t>
            </w:r>
          </w:p>
        </w:tc>
      </w:tr>
      <w:tr w:rsidR="005F7BCA" w:rsidRPr="00883BC3" w:rsidTr="0042594E">
        <w:tc>
          <w:tcPr>
            <w:tcW w:w="540" w:type="dxa"/>
          </w:tcPr>
          <w:p w:rsidR="005F7BCA" w:rsidRPr="00883BC3" w:rsidRDefault="005F7BCA" w:rsidP="008967C5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80" w:type="dxa"/>
          </w:tcPr>
          <w:p w:rsidR="005F7BCA" w:rsidRPr="00883BC3" w:rsidRDefault="005F7BCA" w:rsidP="005F7BC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Министерство экономического развития, промышленности и торговли Чувашской Республики</w:t>
            </w:r>
          </w:p>
          <w:p w:rsidR="005F7BCA" w:rsidRPr="00883BC3" w:rsidRDefault="005F7BCA" w:rsidP="005F7BC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Министерство финансов Чувашской Республики</w:t>
            </w:r>
          </w:p>
          <w:p w:rsidR="005F7BCA" w:rsidRPr="00883BC3" w:rsidRDefault="005F7BCA" w:rsidP="005F7BC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г. Алатырь</w:t>
            </w:r>
          </w:p>
          <w:p w:rsidR="005F7BCA" w:rsidRPr="00883BC3" w:rsidRDefault="005F7BCA" w:rsidP="005F7BC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г. Канаш</w:t>
            </w:r>
          </w:p>
          <w:p w:rsidR="005F7BCA" w:rsidRPr="00883BC3" w:rsidRDefault="005F7BCA" w:rsidP="005F7BC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г. Новочебоксарск</w:t>
            </w:r>
          </w:p>
          <w:p w:rsidR="005F7BCA" w:rsidRPr="00883BC3" w:rsidRDefault="005F7BCA" w:rsidP="005F7BC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г. Шумерля</w:t>
            </w:r>
          </w:p>
          <w:p w:rsidR="005F7BCA" w:rsidRPr="00883BC3" w:rsidRDefault="005F7BCA" w:rsidP="005F7BC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г. Чебоксары</w:t>
            </w:r>
          </w:p>
          <w:p w:rsidR="005F7BCA" w:rsidRPr="00883BC3" w:rsidRDefault="005F7BCA" w:rsidP="005F7BC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Батыревского  района</w:t>
            </w:r>
          </w:p>
          <w:p w:rsidR="005F7BCA" w:rsidRPr="00883BC3" w:rsidRDefault="005F7BCA" w:rsidP="005F7BC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Мариинско-Посадского района</w:t>
            </w:r>
          </w:p>
          <w:p w:rsidR="005F7BCA" w:rsidRPr="00883BC3" w:rsidRDefault="005F7BCA" w:rsidP="005F7BC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Чебоксарского района</w:t>
            </w:r>
          </w:p>
          <w:p w:rsidR="005F7BCA" w:rsidRPr="00883BC3" w:rsidRDefault="005F7BCA" w:rsidP="005F7BCA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 xml:space="preserve">Автономное учреждение Чувашской Республики «Многофункциональный центр предоставления государственных и муниципальных услуг» Министерства экономического развития, промышленности и торговли Чувашской Республики </w:t>
            </w:r>
          </w:p>
        </w:tc>
        <w:tc>
          <w:tcPr>
            <w:tcW w:w="4771" w:type="dxa"/>
          </w:tcPr>
          <w:p w:rsidR="005F7BCA" w:rsidRPr="00883BC3" w:rsidRDefault="005F7BCA" w:rsidP="00CF786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Министерство экономического развития, промышленности и торговли Чувашской Республики</w:t>
            </w:r>
          </w:p>
          <w:p w:rsidR="005F7BCA" w:rsidRPr="00883BC3" w:rsidRDefault="005F7BCA" w:rsidP="00CF786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Министерство финансов Чувашской Республики</w:t>
            </w:r>
          </w:p>
          <w:p w:rsidR="005F7BCA" w:rsidRPr="00883BC3" w:rsidRDefault="005F7BCA" w:rsidP="00CF786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Министерство информационной политики и массовых коммуникаций Чувашской Республики</w:t>
            </w:r>
          </w:p>
          <w:p w:rsidR="005F7BCA" w:rsidRPr="00883BC3" w:rsidRDefault="005F7BCA" w:rsidP="00CF786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г. Алатырь</w:t>
            </w:r>
          </w:p>
          <w:p w:rsidR="005F7BCA" w:rsidRPr="00883BC3" w:rsidRDefault="005F7BCA" w:rsidP="00CF786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г. Канаш</w:t>
            </w:r>
          </w:p>
          <w:p w:rsidR="005F7BCA" w:rsidRPr="00883BC3" w:rsidRDefault="005F7BCA" w:rsidP="00CF786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г. Новочебоксарск</w:t>
            </w:r>
          </w:p>
          <w:p w:rsidR="005F7BCA" w:rsidRPr="00883BC3" w:rsidRDefault="005F7BCA" w:rsidP="00CF786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г. Шумерля</w:t>
            </w:r>
          </w:p>
          <w:p w:rsidR="005F7BCA" w:rsidRPr="00883BC3" w:rsidRDefault="005F7BCA" w:rsidP="00CF786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г. Чебоксары</w:t>
            </w:r>
          </w:p>
          <w:p w:rsidR="005F7BCA" w:rsidRPr="00883BC3" w:rsidRDefault="005F7BCA" w:rsidP="00CF786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Батыревского  района</w:t>
            </w:r>
          </w:p>
          <w:p w:rsidR="005F7BCA" w:rsidRPr="00883BC3" w:rsidRDefault="005F7BCA" w:rsidP="00CF786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Мариинско-Посадского района</w:t>
            </w:r>
          </w:p>
          <w:p w:rsidR="005F7BCA" w:rsidRPr="00883BC3" w:rsidRDefault="005F7BCA" w:rsidP="00CF786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>Администрация Чебоксарского района</w:t>
            </w:r>
          </w:p>
          <w:p w:rsidR="005F7BCA" w:rsidRPr="00883BC3" w:rsidRDefault="005F7BCA" w:rsidP="00CF786A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883BC3">
              <w:rPr>
                <w:rFonts w:eastAsia="Calibri"/>
                <w:sz w:val="24"/>
                <w:szCs w:val="24"/>
                <w:lang w:eastAsia="en-US"/>
              </w:rPr>
              <w:t xml:space="preserve">Автономное учреждение Чувашской Республики «Многофункциональный центр предоставления государственных и муниципальных услуг»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686" w:type="dxa"/>
          </w:tcPr>
          <w:p w:rsidR="005F7BCA" w:rsidRPr="00883BC3" w:rsidRDefault="005F7BCA" w:rsidP="008967C5">
            <w:p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883BC3">
              <w:rPr>
                <w:sz w:val="24"/>
                <w:szCs w:val="24"/>
                <w:u w:val="single"/>
              </w:rPr>
              <w:t>В перечень ключевых участников проекта включено:</w:t>
            </w:r>
          </w:p>
          <w:p w:rsidR="005F7BCA" w:rsidRPr="00883BC3" w:rsidRDefault="005F7BCA" w:rsidP="008967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83BC3">
              <w:rPr>
                <w:sz w:val="24"/>
                <w:szCs w:val="24"/>
              </w:rPr>
              <w:t xml:space="preserve">Министерство </w:t>
            </w:r>
            <w:r w:rsidRPr="00883BC3">
              <w:rPr>
                <w:rFonts w:eastAsia="Calibri"/>
                <w:sz w:val="24"/>
                <w:szCs w:val="24"/>
                <w:lang w:eastAsia="en-US"/>
              </w:rPr>
              <w:t>информационной политики и массовых коммуникаций Чувашской Республики в связи с выполнением мероприятий по информатизации в рамках реализации мероприятий проекта</w:t>
            </w:r>
          </w:p>
          <w:p w:rsidR="005F7BCA" w:rsidRPr="00883BC3" w:rsidRDefault="005F7BCA" w:rsidP="008967C5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127ABE" w:rsidRPr="00883BC3" w:rsidRDefault="00127ABE" w:rsidP="003C28A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127ABE" w:rsidRPr="00883BC3" w:rsidSect="0042594E">
      <w:headerReference w:type="default" r:id="rId9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AB" w:rsidRDefault="00D952AB" w:rsidP="00F14992">
      <w:pPr>
        <w:spacing w:after="0" w:line="240" w:lineRule="auto"/>
      </w:pPr>
      <w:r>
        <w:separator/>
      </w:r>
    </w:p>
  </w:endnote>
  <w:endnote w:type="continuationSeparator" w:id="0">
    <w:p w:rsidR="00D952AB" w:rsidRDefault="00D952AB" w:rsidP="00F1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AB" w:rsidRDefault="00D952AB" w:rsidP="00F14992">
      <w:pPr>
        <w:spacing w:after="0" w:line="240" w:lineRule="auto"/>
      </w:pPr>
      <w:r>
        <w:separator/>
      </w:r>
    </w:p>
  </w:footnote>
  <w:footnote w:type="continuationSeparator" w:id="0">
    <w:p w:rsidR="00D952AB" w:rsidRDefault="00D952AB" w:rsidP="00F1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133099"/>
      <w:docPartObj>
        <w:docPartGallery w:val="Page Numbers (Top of Page)"/>
        <w:docPartUnique/>
      </w:docPartObj>
    </w:sdtPr>
    <w:sdtEndPr/>
    <w:sdtContent>
      <w:p w:rsidR="0042594E" w:rsidRDefault="0042594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F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496"/>
    <w:multiLevelType w:val="hybridMultilevel"/>
    <w:tmpl w:val="D5BC48CC"/>
    <w:lvl w:ilvl="0" w:tplc="4A7040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270AA"/>
    <w:multiLevelType w:val="hybridMultilevel"/>
    <w:tmpl w:val="D7BA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7C73"/>
    <w:multiLevelType w:val="hybridMultilevel"/>
    <w:tmpl w:val="223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ECE"/>
    <w:multiLevelType w:val="hybridMultilevel"/>
    <w:tmpl w:val="8E9806BE"/>
    <w:lvl w:ilvl="0" w:tplc="0916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48E8"/>
    <w:multiLevelType w:val="hybridMultilevel"/>
    <w:tmpl w:val="7B18BCC4"/>
    <w:lvl w:ilvl="0" w:tplc="09161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FD65EC"/>
    <w:multiLevelType w:val="hybridMultilevel"/>
    <w:tmpl w:val="92C8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B32D3"/>
    <w:multiLevelType w:val="hybridMultilevel"/>
    <w:tmpl w:val="ABD479AC"/>
    <w:lvl w:ilvl="0" w:tplc="E91EAA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38FE"/>
    <w:multiLevelType w:val="hybridMultilevel"/>
    <w:tmpl w:val="073E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2277"/>
    <w:multiLevelType w:val="hybridMultilevel"/>
    <w:tmpl w:val="22B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7655A"/>
    <w:multiLevelType w:val="hybridMultilevel"/>
    <w:tmpl w:val="9E92CE5C"/>
    <w:lvl w:ilvl="0" w:tplc="12EE9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D3504"/>
    <w:multiLevelType w:val="hybridMultilevel"/>
    <w:tmpl w:val="C2E2EC42"/>
    <w:lvl w:ilvl="0" w:tplc="60BEF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C44C2"/>
    <w:multiLevelType w:val="hybridMultilevel"/>
    <w:tmpl w:val="6E8EDA1C"/>
    <w:lvl w:ilvl="0" w:tplc="D92AD8D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D678CA"/>
    <w:multiLevelType w:val="hybridMultilevel"/>
    <w:tmpl w:val="AC92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D32FA"/>
    <w:multiLevelType w:val="hybridMultilevel"/>
    <w:tmpl w:val="B23E676C"/>
    <w:lvl w:ilvl="0" w:tplc="54AEF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C2EF7"/>
    <w:multiLevelType w:val="hybridMultilevel"/>
    <w:tmpl w:val="073E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E449F"/>
    <w:multiLevelType w:val="hybridMultilevel"/>
    <w:tmpl w:val="AC0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62C26"/>
    <w:multiLevelType w:val="hybridMultilevel"/>
    <w:tmpl w:val="93E6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71F"/>
    <w:multiLevelType w:val="hybridMultilevel"/>
    <w:tmpl w:val="7C50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7B4F"/>
    <w:multiLevelType w:val="hybridMultilevel"/>
    <w:tmpl w:val="D13464DA"/>
    <w:lvl w:ilvl="0" w:tplc="69AEC5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3"/>
  </w:num>
  <w:num w:numId="11">
    <w:abstractNumId w:val="11"/>
  </w:num>
  <w:num w:numId="12">
    <w:abstractNumId w:val="17"/>
  </w:num>
  <w:num w:numId="13">
    <w:abstractNumId w:val="10"/>
  </w:num>
  <w:num w:numId="14">
    <w:abstractNumId w:val="1"/>
  </w:num>
  <w:num w:numId="15">
    <w:abstractNumId w:val="16"/>
  </w:num>
  <w:num w:numId="16">
    <w:abstractNumId w:val="14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B"/>
    <w:rsid w:val="000002F0"/>
    <w:rsid w:val="000054B3"/>
    <w:rsid w:val="00005C73"/>
    <w:rsid w:val="000208AB"/>
    <w:rsid w:val="00025A5B"/>
    <w:rsid w:val="000421E3"/>
    <w:rsid w:val="00044787"/>
    <w:rsid w:val="00044BCD"/>
    <w:rsid w:val="00044C54"/>
    <w:rsid w:val="0004566B"/>
    <w:rsid w:val="00045D23"/>
    <w:rsid w:val="000508CB"/>
    <w:rsid w:val="000513CF"/>
    <w:rsid w:val="00052518"/>
    <w:rsid w:val="00052D6D"/>
    <w:rsid w:val="00052F0C"/>
    <w:rsid w:val="00052F0E"/>
    <w:rsid w:val="0005458F"/>
    <w:rsid w:val="00055911"/>
    <w:rsid w:val="000578EC"/>
    <w:rsid w:val="00062B30"/>
    <w:rsid w:val="000647BA"/>
    <w:rsid w:val="00067353"/>
    <w:rsid w:val="000677C0"/>
    <w:rsid w:val="00075C5D"/>
    <w:rsid w:val="000846AE"/>
    <w:rsid w:val="000865A4"/>
    <w:rsid w:val="00090240"/>
    <w:rsid w:val="0009379A"/>
    <w:rsid w:val="000950B5"/>
    <w:rsid w:val="00095E2A"/>
    <w:rsid w:val="000A16B8"/>
    <w:rsid w:val="000A1999"/>
    <w:rsid w:val="000A2410"/>
    <w:rsid w:val="000A4E02"/>
    <w:rsid w:val="000A518E"/>
    <w:rsid w:val="000B018D"/>
    <w:rsid w:val="000B436E"/>
    <w:rsid w:val="000B49A4"/>
    <w:rsid w:val="000B51A2"/>
    <w:rsid w:val="000C465B"/>
    <w:rsid w:val="000D0F81"/>
    <w:rsid w:val="000D1309"/>
    <w:rsid w:val="000D2CB5"/>
    <w:rsid w:val="000D7D92"/>
    <w:rsid w:val="000E19DD"/>
    <w:rsid w:val="000E6BC7"/>
    <w:rsid w:val="000F5C9F"/>
    <w:rsid w:val="00103746"/>
    <w:rsid w:val="0011088A"/>
    <w:rsid w:val="0011118D"/>
    <w:rsid w:val="0011507E"/>
    <w:rsid w:val="001236FB"/>
    <w:rsid w:val="00125C80"/>
    <w:rsid w:val="0012720E"/>
    <w:rsid w:val="00127231"/>
    <w:rsid w:val="001272DE"/>
    <w:rsid w:val="00127ABE"/>
    <w:rsid w:val="001300E4"/>
    <w:rsid w:val="0013044C"/>
    <w:rsid w:val="00130529"/>
    <w:rsid w:val="00135E4D"/>
    <w:rsid w:val="00136809"/>
    <w:rsid w:val="0013685A"/>
    <w:rsid w:val="00144161"/>
    <w:rsid w:val="00144EA0"/>
    <w:rsid w:val="001455CE"/>
    <w:rsid w:val="00147DA4"/>
    <w:rsid w:val="0015293C"/>
    <w:rsid w:val="001547C8"/>
    <w:rsid w:val="00155F16"/>
    <w:rsid w:val="00160A34"/>
    <w:rsid w:val="00161102"/>
    <w:rsid w:val="001611D2"/>
    <w:rsid w:val="00164578"/>
    <w:rsid w:val="001679B0"/>
    <w:rsid w:val="0017040B"/>
    <w:rsid w:val="00174F5A"/>
    <w:rsid w:val="00176117"/>
    <w:rsid w:val="0018219A"/>
    <w:rsid w:val="0018330B"/>
    <w:rsid w:val="00184B9F"/>
    <w:rsid w:val="001A20D2"/>
    <w:rsid w:val="001A71B1"/>
    <w:rsid w:val="001A7846"/>
    <w:rsid w:val="001B0114"/>
    <w:rsid w:val="001B20DF"/>
    <w:rsid w:val="001B57AB"/>
    <w:rsid w:val="001B6D80"/>
    <w:rsid w:val="001B7EC6"/>
    <w:rsid w:val="001C135A"/>
    <w:rsid w:val="001C2DE9"/>
    <w:rsid w:val="001D3162"/>
    <w:rsid w:val="001D5270"/>
    <w:rsid w:val="001D7F4D"/>
    <w:rsid w:val="001E6961"/>
    <w:rsid w:val="001F5C1E"/>
    <w:rsid w:val="001F6B40"/>
    <w:rsid w:val="001F74DE"/>
    <w:rsid w:val="00202F86"/>
    <w:rsid w:val="002041AC"/>
    <w:rsid w:val="00207A81"/>
    <w:rsid w:val="00210E1B"/>
    <w:rsid w:val="002157A2"/>
    <w:rsid w:val="00215DFC"/>
    <w:rsid w:val="00220DA9"/>
    <w:rsid w:val="00223387"/>
    <w:rsid w:val="0022434F"/>
    <w:rsid w:val="00226A7E"/>
    <w:rsid w:val="00232AB4"/>
    <w:rsid w:val="00236C3A"/>
    <w:rsid w:val="00236CEA"/>
    <w:rsid w:val="00243D93"/>
    <w:rsid w:val="00244970"/>
    <w:rsid w:val="002462D2"/>
    <w:rsid w:val="00247B1E"/>
    <w:rsid w:val="002517C6"/>
    <w:rsid w:val="00262927"/>
    <w:rsid w:val="00263178"/>
    <w:rsid w:val="0026676A"/>
    <w:rsid w:val="00267D13"/>
    <w:rsid w:val="00282633"/>
    <w:rsid w:val="002828EA"/>
    <w:rsid w:val="00282F7B"/>
    <w:rsid w:val="00283083"/>
    <w:rsid w:val="00291FF6"/>
    <w:rsid w:val="00293522"/>
    <w:rsid w:val="00294640"/>
    <w:rsid w:val="00294DBE"/>
    <w:rsid w:val="00296F6A"/>
    <w:rsid w:val="002A0FC6"/>
    <w:rsid w:val="002A17C7"/>
    <w:rsid w:val="002A285E"/>
    <w:rsid w:val="002A383E"/>
    <w:rsid w:val="002A4941"/>
    <w:rsid w:val="002A4E5C"/>
    <w:rsid w:val="002A4E63"/>
    <w:rsid w:val="002A5A9F"/>
    <w:rsid w:val="002A5FB0"/>
    <w:rsid w:val="002B52DA"/>
    <w:rsid w:val="002B5A19"/>
    <w:rsid w:val="002C44DF"/>
    <w:rsid w:val="002C4966"/>
    <w:rsid w:val="002C7119"/>
    <w:rsid w:val="002D16C5"/>
    <w:rsid w:val="002D5B2F"/>
    <w:rsid w:val="002D5D15"/>
    <w:rsid w:val="002D5DC8"/>
    <w:rsid w:val="002D5FBA"/>
    <w:rsid w:val="002D7864"/>
    <w:rsid w:val="002E07AC"/>
    <w:rsid w:val="002E5998"/>
    <w:rsid w:val="002E6071"/>
    <w:rsid w:val="002E6690"/>
    <w:rsid w:val="002F3C3C"/>
    <w:rsid w:val="002F595D"/>
    <w:rsid w:val="0030346C"/>
    <w:rsid w:val="00312232"/>
    <w:rsid w:val="00313A54"/>
    <w:rsid w:val="003224D4"/>
    <w:rsid w:val="00331F4B"/>
    <w:rsid w:val="003323FC"/>
    <w:rsid w:val="00334E03"/>
    <w:rsid w:val="00337176"/>
    <w:rsid w:val="00337C33"/>
    <w:rsid w:val="00344BCF"/>
    <w:rsid w:val="003504D7"/>
    <w:rsid w:val="0035359F"/>
    <w:rsid w:val="00353AAC"/>
    <w:rsid w:val="003548DA"/>
    <w:rsid w:val="00354B67"/>
    <w:rsid w:val="00354D87"/>
    <w:rsid w:val="00356415"/>
    <w:rsid w:val="003574DB"/>
    <w:rsid w:val="00357727"/>
    <w:rsid w:val="00361DC9"/>
    <w:rsid w:val="00364896"/>
    <w:rsid w:val="00364F4E"/>
    <w:rsid w:val="003703FF"/>
    <w:rsid w:val="00372E79"/>
    <w:rsid w:val="00377648"/>
    <w:rsid w:val="00380FCA"/>
    <w:rsid w:val="003824C0"/>
    <w:rsid w:val="00382B8C"/>
    <w:rsid w:val="00383D15"/>
    <w:rsid w:val="00384FAB"/>
    <w:rsid w:val="00391C6B"/>
    <w:rsid w:val="00392E28"/>
    <w:rsid w:val="00394437"/>
    <w:rsid w:val="00394925"/>
    <w:rsid w:val="00396170"/>
    <w:rsid w:val="003A1A5D"/>
    <w:rsid w:val="003A268F"/>
    <w:rsid w:val="003A5C91"/>
    <w:rsid w:val="003A65B3"/>
    <w:rsid w:val="003A664A"/>
    <w:rsid w:val="003B0FEC"/>
    <w:rsid w:val="003B3CEA"/>
    <w:rsid w:val="003C196E"/>
    <w:rsid w:val="003C28AF"/>
    <w:rsid w:val="003C2C75"/>
    <w:rsid w:val="003C4662"/>
    <w:rsid w:val="003D332C"/>
    <w:rsid w:val="003D77D0"/>
    <w:rsid w:val="003E24A8"/>
    <w:rsid w:val="003E5119"/>
    <w:rsid w:val="003F0D85"/>
    <w:rsid w:val="003F2BD2"/>
    <w:rsid w:val="003F404F"/>
    <w:rsid w:val="003F4B65"/>
    <w:rsid w:val="003F5A4D"/>
    <w:rsid w:val="003F6267"/>
    <w:rsid w:val="00401074"/>
    <w:rsid w:val="004024F7"/>
    <w:rsid w:val="00403ABF"/>
    <w:rsid w:val="00404313"/>
    <w:rsid w:val="004054A0"/>
    <w:rsid w:val="00406A22"/>
    <w:rsid w:val="00410A1C"/>
    <w:rsid w:val="004110CD"/>
    <w:rsid w:val="00412634"/>
    <w:rsid w:val="00413629"/>
    <w:rsid w:val="0041528D"/>
    <w:rsid w:val="00420E3B"/>
    <w:rsid w:val="00422ACB"/>
    <w:rsid w:val="004245A0"/>
    <w:rsid w:val="0042594E"/>
    <w:rsid w:val="00426CCF"/>
    <w:rsid w:val="00436249"/>
    <w:rsid w:val="00443050"/>
    <w:rsid w:val="0045020D"/>
    <w:rsid w:val="004528BD"/>
    <w:rsid w:val="0046199A"/>
    <w:rsid w:val="00461A9D"/>
    <w:rsid w:val="004630F6"/>
    <w:rsid w:val="00465A08"/>
    <w:rsid w:val="00466370"/>
    <w:rsid w:val="00466EB4"/>
    <w:rsid w:val="0047093D"/>
    <w:rsid w:val="00471A2D"/>
    <w:rsid w:val="00473619"/>
    <w:rsid w:val="00473DDA"/>
    <w:rsid w:val="004754DB"/>
    <w:rsid w:val="00475D43"/>
    <w:rsid w:val="00480EE7"/>
    <w:rsid w:val="004821AE"/>
    <w:rsid w:val="00483802"/>
    <w:rsid w:val="0048671C"/>
    <w:rsid w:val="00490D89"/>
    <w:rsid w:val="004966D3"/>
    <w:rsid w:val="004970B9"/>
    <w:rsid w:val="004A06FD"/>
    <w:rsid w:val="004A1D92"/>
    <w:rsid w:val="004A4E7D"/>
    <w:rsid w:val="004A705F"/>
    <w:rsid w:val="004B0B0A"/>
    <w:rsid w:val="004B1194"/>
    <w:rsid w:val="004B355B"/>
    <w:rsid w:val="004B4FDB"/>
    <w:rsid w:val="004B5E1D"/>
    <w:rsid w:val="004C235B"/>
    <w:rsid w:val="004C2FB7"/>
    <w:rsid w:val="004C443D"/>
    <w:rsid w:val="004C7D71"/>
    <w:rsid w:val="004C7F56"/>
    <w:rsid w:val="004D1096"/>
    <w:rsid w:val="004D122B"/>
    <w:rsid w:val="004D4813"/>
    <w:rsid w:val="004D4F84"/>
    <w:rsid w:val="004D52D0"/>
    <w:rsid w:val="004E0447"/>
    <w:rsid w:val="004E087C"/>
    <w:rsid w:val="004E1918"/>
    <w:rsid w:val="004E2B7B"/>
    <w:rsid w:val="004E2C80"/>
    <w:rsid w:val="004E2D9D"/>
    <w:rsid w:val="004F3485"/>
    <w:rsid w:val="00503D11"/>
    <w:rsid w:val="00507795"/>
    <w:rsid w:val="00522C22"/>
    <w:rsid w:val="00523296"/>
    <w:rsid w:val="0052401F"/>
    <w:rsid w:val="005259E3"/>
    <w:rsid w:val="00526669"/>
    <w:rsid w:val="00530B3F"/>
    <w:rsid w:val="00535BEF"/>
    <w:rsid w:val="00540147"/>
    <w:rsid w:val="00541010"/>
    <w:rsid w:val="00541F2C"/>
    <w:rsid w:val="00545C37"/>
    <w:rsid w:val="00551532"/>
    <w:rsid w:val="00551B14"/>
    <w:rsid w:val="00553A25"/>
    <w:rsid w:val="005545F5"/>
    <w:rsid w:val="005551BA"/>
    <w:rsid w:val="00555DB4"/>
    <w:rsid w:val="00560A7A"/>
    <w:rsid w:val="005616A9"/>
    <w:rsid w:val="00562577"/>
    <w:rsid w:val="00562EAA"/>
    <w:rsid w:val="0057167F"/>
    <w:rsid w:val="005772FD"/>
    <w:rsid w:val="00582C4C"/>
    <w:rsid w:val="00584D13"/>
    <w:rsid w:val="00585F6A"/>
    <w:rsid w:val="00594119"/>
    <w:rsid w:val="00596927"/>
    <w:rsid w:val="005A0D44"/>
    <w:rsid w:val="005A1E73"/>
    <w:rsid w:val="005A5515"/>
    <w:rsid w:val="005B4C4E"/>
    <w:rsid w:val="005B70DA"/>
    <w:rsid w:val="005C0E5E"/>
    <w:rsid w:val="005C1B13"/>
    <w:rsid w:val="005C2B60"/>
    <w:rsid w:val="005C3326"/>
    <w:rsid w:val="005C79EC"/>
    <w:rsid w:val="005D0A02"/>
    <w:rsid w:val="005E39AE"/>
    <w:rsid w:val="005E4C6B"/>
    <w:rsid w:val="005E5080"/>
    <w:rsid w:val="005F4B06"/>
    <w:rsid w:val="005F7BCA"/>
    <w:rsid w:val="005F7BF6"/>
    <w:rsid w:val="00602BF7"/>
    <w:rsid w:val="00602D19"/>
    <w:rsid w:val="006073F6"/>
    <w:rsid w:val="00607ACC"/>
    <w:rsid w:val="00610C3A"/>
    <w:rsid w:val="00611696"/>
    <w:rsid w:val="0061442D"/>
    <w:rsid w:val="006237AD"/>
    <w:rsid w:val="00627A79"/>
    <w:rsid w:val="006312B7"/>
    <w:rsid w:val="006332C1"/>
    <w:rsid w:val="006334E4"/>
    <w:rsid w:val="00635613"/>
    <w:rsid w:val="006362A8"/>
    <w:rsid w:val="0063687B"/>
    <w:rsid w:val="0064741A"/>
    <w:rsid w:val="00653698"/>
    <w:rsid w:val="00662915"/>
    <w:rsid w:val="00662DC2"/>
    <w:rsid w:val="00662E92"/>
    <w:rsid w:val="00666677"/>
    <w:rsid w:val="00667C53"/>
    <w:rsid w:val="00677683"/>
    <w:rsid w:val="00683FF8"/>
    <w:rsid w:val="006846AC"/>
    <w:rsid w:val="006936D8"/>
    <w:rsid w:val="00695156"/>
    <w:rsid w:val="00697081"/>
    <w:rsid w:val="006A0F67"/>
    <w:rsid w:val="006B08E4"/>
    <w:rsid w:val="006B27AA"/>
    <w:rsid w:val="006B70C6"/>
    <w:rsid w:val="006C2123"/>
    <w:rsid w:val="006C386E"/>
    <w:rsid w:val="006C3FD6"/>
    <w:rsid w:val="006C4900"/>
    <w:rsid w:val="006C5A68"/>
    <w:rsid w:val="006D033C"/>
    <w:rsid w:val="006D071E"/>
    <w:rsid w:val="006D0F97"/>
    <w:rsid w:val="006D6260"/>
    <w:rsid w:val="006D79F1"/>
    <w:rsid w:val="006E57C7"/>
    <w:rsid w:val="006F2882"/>
    <w:rsid w:val="006F6572"/>
    <w:rsid w:val="006F76B9"/>
    <w:rsid w:val="00700DDD"/>
    <w:rsid w:val="007023BE"/>
    <w:rsid w:val="0070512C"/>
    <w:rsid w:val="00705537"/>
    <w:rsid w:val="0070567F"/>
    <w:rsid w:val="00707B17"/>
    <w:rsid w:val="007126CD"/>
    <w:rsid w:val="007224B8"/>
    <w:rsid w:val="00727A48"/>
    <w:rsid w:val="00727CD7"/>
    <w:rsid w:val="00730C1A"/>
    <w:rsid w:val="00734043"/>
    <w:rsid w:val="00736670"/>
    <w:rsid w:val="0073706F"/>
    <w:rsid w:val="00743F3A"/>
    <w:rsid w:val="00744CE8"/>
    <w:rsid w:val="00747CEB"/>
    <w:rsid w:val="00754A1F"/>
    <w:rsid w:val="00754BEB"/>
    <w:rsid w:val="00761F64"/>
    <w:rsid w:val="0076488A"/>
    <w:rsid w:val="007712B9"/>
    <w:rsid w:val="0077197E"/>
    <w:rsid w:val="007724D8"/>
    <w:rsid w:val="00774EAB"/>
    <w:rsid w:val="007753D8"/>
    <w:rsid w:val="0077593A"/>
    <w:rsid w:val="0077667C"/>
    <w:rsid w:val="00781F3D"/>
    <w:rsid w:val="0078299B"/>
    <w:rsid w:val="0079045E"/>
    <w:rsid w:val="00791D5C"/>
    <w:rsid w:val="007940E7"/>
    <w:rsid w:val="00797860"/>
    <w:rsid w:val="007A37B7"/>
    <w:rsid w:val="007A799A"/>
    <w:rsid w:val="007B2049"/>
    <w:rsid w:val="007B2FE2"/>
    <w:rsid w:val="007B33E3"/>
    <w:rsid w:val="007B3F31"/>
    <w:rsid w:val="007B3F44"/>
    <w:rsid w:val="007B6EB4"/>
    <w:rsid w:val="007C2749"/>
    <w:rsid w:val="007C4505"/>
    <w:rsid w:val="007C460F"/>
    <w:rsid w:val="007C4A43"/>
    <w:rsid w:val="007C6AF7"/>
    <w:rsid w:val="007C6DFD"/>
    <w:rsid w:val="007C6ECA"/>
    <w:rsid w:val="007D320C"/>
    <w:rsid w:val="007E12D6"/>
    <w:rsid w:val="007E25B7"/>
    <w:rsid w:val="007E762A"/>
    <w:rsid w:val="007F0FC8"/>
    <w:rsid w:val="007F32DD"/>
    <w:rsid w:val="007F3971"/>
    <w:rsid w:val="007F431C"/>
    <w:rsid w:val="007F56A8"/>
    <w:rsid w:val="007F62CB"/>
    <w:rsid w:val="00800BD1"/>
    <w:rsid w:val="008012F4"/>
    <w:rsid w:val="00803097"/>
    <w:rsid w:val="00803A5C"/>
    <w:rsid w:val="00803D0B"/>
    <w:rsid w:val="00804CE2"/>
    <w:rsid w:val="00810117"/>
    <w:rsid w:val="00815FE1"/>
    <w:rsid w:val="008168D3"/>
    <w:rsid w:val="00821399"/>
    <w:rsid w:val="008225D6"/>
    <w:rsid w:val="00825134"/>
    <w:rsid w:val="008302A5"/>
    <w:rsid w:val="00830D8F"/>
    <w:rsid w:val="00831690"/>
    <w:rsid w:val="00832D70"/>
    <w:rsid w:val="0083407F"/>
    <w:rsid w:val="00836568"/>
    <w:rsid w:val="0084111B"/>
    <w:rsid w:val="00846C27"/>
    <w:rsid w:val="008504AD"/>
    <w:rsid w:val="0085120F"/>
    <w:rsid w:val="00853738"/>
    <w:rsid w:val="00854E05"/>
    <w:rsid w:val="00856DD5"/>
    <w:rsid w:val="00860B4B"/>
    <w:rsid w:val="0086192A"/>
    <w:rsid w:val="00862A8F"/>
    <w:rsid w:val="00866577"/>
    <w:rsid w:val="0088254B"/>
    <w:rsid w:val="00883274"/>
    <w:rsid w:val="00883BC3"/>
    <w:rsid w:val="00892A92"/>
    <w:rsid w:val="00895BE6"/>
    <w:rsid w:val="00896150"/>
    <w:rsid w:val="008967C5"/>
    <w:rsid w:val="008A1F0E"/>
    <w:rsid w:val="008A29F4"/>
    <w:rsid w:val="008A3317"/>
    <w:rsid w:val="008A5A84"/>
    <w:rsid w:val="008B2EDD"/>
    <w:rsid w:val="008B6369"/>
    <w:rsid w:val="008C1B68"/>
    <w:rsid w:val="008C3076"/>
    <w:rsid w:val="008D19C5"/>
    <w:rsid w:val="008D4E13"/>
    <w:rsid w:val="008E016E"/>
    <w:rsid w:val="008E2EC1"/>
    <w:rsid w:val="008E390E"/>
    <w:rsid w:val="008E48D8"/>
    <w:rsid w:val="008E7812"/>
    <w:rsid w:val="008F1773"/>
    <w:rsid w:val="008F6484"/>
    <w:rsid w:val="008F7619"/>
    <w:rsid w:val="009013D3"/>
    <w:rsid w:val="009021C0"/>
    <w:rsid w:val="00903EA0"/>
    <w:rsid w:val="00904B22"/>
    <w:rsid w:val="00911180"/>
    <w:rsid w:val="0091769E"/>
    <w:rsid w:val="00921369"/>
    <w:rsid w:val="0093422E"/>
    <w:rsid w:val="00935062"/>
    <w:rsid w:val="0093778A"/>
    <w:rsid w:val="00941510"/>
    <w:rsid w:val="00944D2E"/>
    <w:rsid w:val="00952058"/>
    <w:rsid w:val="0095555F"/>
    <w:rsid w:val="009556B4"/>
    <w:rsid w:val="00960B4E"/>
    <w:rsid w:val="009612A6"/>
    <w:rsid w:val="00961872"/>
    <w:rsid w:val="00962E69"/>
    <w:rsid w:val="00966676"/>
    <w:rsid w:val="00966751"/>
    <w:rsid w:val="00970557"/>
    <w:rsid w:val="00970BFD"/>
    <w:rsid w:val="00974334"/>
    <w:rsid w:val="00974AFC"/>
    <w:rsid w:val="00976E81"/>
    <w:rsid w:val="00982662"/>
    <w:rsid w:val="009827A8"/>
    <w:rsid w:val="00983986"/>
    <w:rsid w:val="00984220"/>
    <w:rsid w:val="0099182E"/>
    <w:rsid w:val="00995F49"/>
    <w:rsid w:val="009971CC"/>
    <w:rsid w:val="009973E4"/>
    <w:rsid w:val="009973EB"/>
    <w:rsid w:val="009A360E"/>
    <w:rsid w:val="009A7ABB"/>
    <w:rsid w:val="009B4A5B"/>
    <w:rsid w:val="009B5B8F"/>
    <w:rsid w:val="009C05D5"/>
    <w:rsid w:val="009C1DA8"/>
    <w:rsid w:val="009C40DB"/>
    <w:rsid w:val="009C6125"/>
    <w:rsid w:val="009C680F"/>
    <w:rsid w:val="009D12DF"/>
    <w:rsid w:val="009D27C5"/>
    <w:rsid w:val="009F0433"/>
    <w:rsid w:val="009F4B89"/>
    <w:rsid w:val="009F657B"/>
    <w:rsid w:val="00A04E67"/>
    <w:rsid w:val="00A0547F"/>
    <w:rsid w:val="00A062AD"/>
    <w:rsid w:val="00A072D9"/>
    <w:rsid w:val="00A07A7B"/>
    <w:rsid w:val="00A1144D"/>
    <w:rsid w:val="00A14A41"/>
    <w:rsid w:val="00A166B5"/>
    <w:rsid w:val="00A16998"/>
    <w:rsid w:val="00A200E3"/>
    <w:rsid w:val="00A21E01"/>
    <w:rsid w:val="00A225B0"/>
    <w:rsid w:val="00A226CB"/>
    <w:rsid w:val="00A32408"/>
    <w:rsid w:val="00A3564B"/>
    <w:rsid w:val="00A35DCC"/>
    <w:rsid w:val="00A36091"/>
    <w:rsid w:val="00A37A50"/>
    <w:rsid w:val="00A421D1"/>
    <w:rsid w:val="00A50582"/>
    <w:rsid w:val="00A520D2"/>
    <w:rsid w:val="00A53237"/>
    <w:rsid w:val="00A56D8D"/>
    <w:rsid w:val="00A6182F"/>
    <w:rsid w:val="00A6264B"/>
    <w:rsid w:val="00A6395F"/>
    <w:rsid w:val="00A66DCF"/>
    <w:rsid w:val="00A70280"/>
    <w:rsid w:val="00A70DE0"/>
    <w:rsid w:val="00A73B6F"/>
    <w:rsid w:val="00A73D90"/>
    <w:rsid w:val="00A74A4F"/>
    <w:rsid w:val="00A74A91"/>
    <w:rsid w:val="00A750DD"/>
    <w:rsid w:val="00A8275C"/>
    <w:rsid w:val="00A83338"/>
    <w:rsid w:val="00A8653A"/>
    <w:rsid w:val="00A92CFD"/>
    <w:rsid w:val="00A97CCB"/>
    <w:rsid w:val="00AA3F91"/>
    <w:rsid w:val="00AA7138"/>
    <w:rsid w:val="00AB7A64"/>
    <w:rsid w:val="00AC4958"/>
    <w:rsid w:val="00AC7B42"/>
    <w:rsid w:val="00AD0DCD"/>
    <w:rsid w:val="00AD4A50"/>
    <w:rsid w:val="00AD4BA1"/>
    <w:rsid w:val="00AD6BC2"/>
    <w:rsid w:val="00AE0A3B"/>
    <w:rsid w:val="00AE16B7"/>
    <w:rsid w:val="00AE25B7"/>
    <w:rsid w:val="00AE35A7"/>
    <w:rsid w:val="00AE722E"/>
    <w:rsid w:val="00AF01A7"/>
    <w:rsid w:val="00AF0951"/>
    <w:rsid w:val="00AF3B5F"/>
    <w:rsid w:val="00AF7DEC"/>
    <w:rsid w:val="00B00AE2"/>
    <w:rsid w:val="00B05125"/>
    <w:rsid w:val="00B06EE5"/>
    <w:rsid w:val="00B10CA1"/>
    <w:rsid w:val="00B12B43"/>
    <w:rsid w:val="00B13D7E"/>
    <w:rsid w:val="00B14656"/>
    <w:rsid w:val="00B154B6"/>
    <w:rsid w:val="00B1594E"/>
    <w:rsid w:val="00B168FD"/>
    <w:rsid w:val="00B20762"/>
    <w:rsid w:val="00B37B30"/>
    <w:rsid w:val="00B4467D"/>
    <w:rsid w:val="00B47396"/>
    <w:rsid w:val="00B6179B"/>
    <w:rsid w:val="00B62FF4"/>
    <w:rsid w:val="00B72062"/>
    <w:rsid w:val="00B73A41"/>
    <w:rsid w:val="00B81925"/>
    <w:rsid w:val="00B843E6"/>
    <w:rsid w:val="00B84AE7"/>
    <w:rsid w:val="00B86CC1"/>
    <w:rsid w:val="00B8727B"/>
    <w:rsid w:val="00BA0F74"/>
    <w:rsid w:val="00BA46A4"/>
    <w:rsid w:val="00BA60F4"/>
    <w:rsid w:val="00BB1EDE"/>
    <w:rsid w:val="00BB446E"/>
    <w:rsid w:val="00BC53CF"/>
    <w:rsid w:val="00BC6C71"/>
    <w:rsid w:val="00BD5313"/>
    <w:rsid w:val="00BE2953"/>
    <w:rsid w:val="00BE2D92"/>
    <w:rsid w:val="00BE3800"/>
    <w:rsid w:val="00BF08B6"/>
    <w:rsid w:val="00BF1683"/>
    <w:rsid w:val="00C0064F"/>
    <w:rsid w:val="00C01B67"/>
    <w:rsid w:val="00C036F2"/>
    <w:rsid w:val="00C079DE"/>
    <w:rsid w:val="00C12356"/>
    <w:rsid w:val="00C251D5"/>
    <w:rsid w:val="00C307AE"/>
    <w:rsid w:val="00C337D7"/>
    <w:rsid w:val="00C349AB"/>
    <w:rsid w:val="00C354E0"/>
    <w:rsid w:val="00C35A52"/>
    <w:rsid w:val="00C37DDB"/>
    <w:rsid w:val="00C4120A"/>
    <w:rsid w:val="00C432EF"/>
    <w:rsid w:val="00C43954"/>
    <w:rsid w:val="00C5087C"/>
    <w:rsid w:val="00C5443B"/>
    <w:rsid w:val="00C557F6"/>
    <w:rsid w:val="00C631E1"/>
    <w:rsid w:val="00C6398C"/>
    <w:rsid w:val="00C6562F"/>
    <w:rsid w:val="00C702E4"/>
    <w:rsid w:val="00C712B5"/>
    <w:rsid w:val="00C75D34"/>
    <w:rsid w:val="00C75F2C"/>
    <w:rsid w:val="00C81CA7"/>
    <w:rsid w:val="00C8551D"/>
    <w:rsid w:val="00C86F87"/>
    <w:rsid w:val="00C87ECC"/>
    <w:rsid w:val="00C97405"/>
    <w:rsid w:val="00CA1173"/>
    <w:rsid w:val="00CA5816"/>
    <w:rsid w:val="00CA67EE"/>
    <w:rsid w:val="00CB1595"/>
    <w:rsid w:val="00CB171F"/>
    <w:rsid w:val="00CB4BCA"/>
    <w:rsid w:val="00CB4BFB"/>
    <w:rsid w:val="00CB70A4"/>
    <w:rsid w:val="00CB7699"/>
    <w:rsid w:val="00CC1A70"/>
    <w:rsid w:val="00CD117D"/>
    <w:rsid w:val="00CD4137"/>
    <w:rsid w:val="00CD5E20"/>
    <w:rsid w:val="00CE40AE"/>
    <w:rsid w:val="00CF1D7A"/>
    <w:rsid w:val="00CF76AF"/>
    <w:rsid w:val="00CF7FA8"/>
    <w:rsid w:val="00D00A64"/>
    <w:rsid w:val="00D016EE"/>
    <w:rsid w:val="00D034BC"/>
    <w:rsid w:val="00D03940"/>
    <w:rsid w:val="00D065C5"/>
    <w:rsid w:val="00D06991"/>
    <w:rsid w:val="00D10FCF"/>
    <w:rsid w:val="00D13468"/>
    <w:rsid w:val="00D155FC"/>
    <w:rsid w:val="00D16697"/>
    <w:rsid w:val="00D17F9E"/>
    <w:rsid w:val="00D20858"/>
    <w:rsid w:val="00D22406"/>
    <w:rsid w:val="00D2303F"/>
    <w:rsid w:val="00D23B8C"/>
    <w:rsid w:val="00D31566"/>
    <w:rsid w:val="00D33B4F"/>
    <w:rsid w:val="00D33F7F"/>
    <w:rsid w:val="00D35CC4"/>
    <w:rsid w:val="00D425D0"/>
    <w:rsid w:val="00D431DD"/>
    <w:rsid w:val="00D44EEA"/>
    <w:rsid w:val="00D50527"/>
    <w:rsid w:val="00D5572F"/>
    <w:rsid w:val="00D568E5"/>
    <w:rsid w:val="00D575E1"/>
    <w:rsid w:val="00D57D09"/>
    <w:rsid w:val="00D74664"/>
    <w:rsid w:val="00D75D86"/>
    <w:rsid w:val="00D83310"/>
    <w:rsid w:val="00D845DB"/>
    <w:rsid w:val="00D86175"/>
    <w:rsid w:val="00D93FFF"/>
    <w:rsid w:val="00D94A80"/>
    <w:rsid w:val="00D952AB"/>
    <w:rsid w:val="00D956FB"/>
    <w:rsid w:val="00DA2F01"/>
    <w:rsid w:val="00DB2F6D"/>
    <w:rsid w:val="00DB7206"/>
    <w:rsid w:val="00DC142F"/>
    <w:rsid w:val="00DC15A2"/>
    <w:rsid w:val="00DC6B61"/>
    <w:rsid w:val="00DD1AA0"/>
    <w:rsid w:val="00DD2F84"/>
    <w:rsid w:val="00DD4F87"/>
    <w:rsid w:val="00DD54DB"/>
    <w:rsid w:val="00DD6F02"/>
    <w:rsid w:val="00DE229D"/>
    <w:rsid w:val="00DE35D3"/>
    <w:rsid w:val="00DE3F3D"/>
    <w:rsid w:val="00DF06A1"/>
    <w:rsid w:val="00DF511F"/>
    <w:rsid w:val="00DF6B36"/>
    <w:rsid w:val="00DF6B6C"/>
    <w:rsid w:val="00DF7AAB"/>
    <w:rsid w:val="00DF7C32"/>
    <w:rsid w:val="00E0224A"/>
    <w:rsid w:val="00E034A5"/>
    <w:rsid w:val="00E035C0"/>
    <w:rsid w:val="00E04445"/>
    <w:rsid w:val="00E0638B"/>
    <w:rsid w:val="00E07D89"/>
    <w:rsid w:val="00E12D20"/>
    <w:rsid w:val="00E13737"/>
    <w:rsid w:val="00E16978"/>
    <w:rsid w:val="00E205F6"/>
    <w:rsid w:val="00E23B63"/>
    <w:rsid w:val="00E24D4A"/>
    <w:rsid w:val="00E26F71"/>
    <w:rsid w:val="00E3231F"/>
    <w:rsid w:val="00E33F33"/>
    <w:rsid w:val="00E34CC6"/>
    <w:rsid w:val="00E35C06"/>
    <w:rsid w:val="00E36BF0"/>
    <w:rsid w:val="00E411BC"/>
    <w:rsid w:val="00E446F4"/>
    <w:rsid w:val="00E44C48"/>
    <w:rsid w:val="00E52765"/>
    <w:rsid w:val="00E56580"/>
    <w:rsid w:val="00E60B96"/>
    <w:rsid w:val="00E635CD"/>
    <w:rsid w:val="00E65A4B"/>
    <w:rsid w:val="00E6632D"/>
    <w:rsid w:val="00E72B94"/>
    <w:rsid w:val="00E72CCB"/>
    <w:rsid w:val="00E82858"/>
    <w:rsid w:val="00E83862"/>
    <w:rsid w:val="00E85120"/>
    <w:rsid w:val="00E863FE"/>
    <w:rsid w:val="00E90C4A"/>
    <w:rsid w:val="00E90DB6"/>
    <w:rsid w:val="00E91F22"/>
    <w:rsid w:val="00E958A6"/>
    <w:rsid w:val="00E96D3C"/>
    <w:rsid w:val="00EA35FC"/>
    <w:rsid w:val="00EA51AA"/>
    <w:rsid w:val="00EB0673"/>
    <w:rsid w:val="00EB2468"/>
    <w:rsid w:val="00EB3102"/>
    <w:rsid w:val="00EB3D3A"/>
    <w:rsid w:val="00EB5CF7"/>
    <w:rsid w:val="00EC1990"/>
    <w:rsid w:val="00EC62C3"/>
    <w:rsid w:val="00ED1DED"/>
    <w:rsid w:val="00ED2A3B"/>
    <w:rsid w:val="00ED2E72"/>
    <w:rsid w:val="00EE02DB"/>
    <w:rsid w:val="00EE093F"/>
    <w:rsid w:val="00EE13ED"/>
    <w:rsid w:val="00EE1E9A"/>
    <w:rsid w:val="00EE3067"/>
    <w:rsid w:val="00EE3FC0"/>
    <w:rsid w:val="00EE5754"/>
    <w:rsid w:val="00EE798B"/>
    <w:rsid w:val="00EF2B73"/>
    <w:rsid w:val="00EF3DA0"/>
    <w:rsid w:val="00EF45EA"/>
    <w:rsid w:val="00EF5E1B"/>
    <w:rsid w:val="00EF7767"/>
    <w:rsid w:val="00F00F6E"/>
    <w:rsid w:val="00F0244F"/>
    <w:rsid w:val="00F053AF"/>
    <w:rsid w:val="00F11ABE"/>
    <w:rsid w:val="00F14992"/>
    <w:rsid w:val="00F24161"/>
    <w:rsid w:val="00F25C46"/>
    <w:rsid w:val="00F26861"/>
    <w:rsid w:val="00F27614"/>
    <w:rsid w:val="00F32003"/>
    <w:rsid w:val="00F34992"/>
    <w:rsid w:val="00F40805"/>
    <w:rsid w:val="00F40E21"/>
    <w:rsid w:val="00F4372E"/>
    <w:rsid w:val="00F44AFC"/>
    <w:rsid w:val="00F46EA9"/>
    <w:rsid w:val="00F54688"/>
    <w:rsid w:val="00F54ADF"/>
    <w:rsid w:val="00F55CD0"/>
    <w:rsid w:val="00F573FA"/>
    <w:rsid w:val="00F60353"/>
    <w:rsid w:val="00F62325"/>
    <w:rsid w:val="00F6588C"/>
    <w:rsid w:val="00F7615C"/>
    <w:rsid w:val="00F82E76"/>
    <w:rsid w:val="00F83DEC"/>
    <w:rsid w:val="00F84AEE"/>
    <w:rsid w:val="00F85BFB"/>
    <w:rsid w:val="00F92D6B"/>
    <w:rsid w:val="00F94A24"/>
    <w:rsid w:val="00F95D65"/>
    <w:rsid w:val="00FA12EE"/>
    <w:rsid w:val="00FA1D91"/>
    <w:rsid w:val="00FA1FF1"/>
    <w:rsid w:val="00FA2691"/>
    <w:rsid w:val="00FA2EB0"/>
    <w:rsid w:val="00FB30B3"/>
    <w:rsid w:val="00FB37FC"/>
    <w:rsid w:val="00FC3577"/>
    <w:rsid w:val="00FC37B3"/>
    <w:rsid w:val="00FC78D2"/>
    <w:rsid w:val="00FE127E"/>
    <w:rsid w:val="00FE1BE8"/>
    <w:rsid w:val="00FE200B"/>
    <w:rsid w:val="00FE2966"/>
    <w:rsid w:val="00FE6ADB"/>
    <w:rsid w:val="00FF1408"/>
    <w:rsid w:val="00FF67C9"/>
    <w:rsid w:val="00FF7A4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8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Normal (Web)"/>
    <w:basedOn w:val="a"/>
    <w:uiPriority w:val="99"/>
    <w:unhideWhenUsed/>
    <w:rsid w:val="002F5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475D43"/>
    <w:rPr>
      <w:i/>
      <w:iCs/>
    </w:rPr>
  </w:style>
  <w:style w:type="character" w:styleId="a9">
    <w:name w:val="Strong"/>
    <w:basedOn w:val="a0"/>
    <w:uiPriority w:val="22"/>
    <w:qFormat/>
    <w:rsid w:val="00797860"/>
    <w:rPr>
      <w:b/>
      <w:bCs/>
    </w:rPr>
  </w:style>
  <w:style w:type="character" w:customStyle="1" w:styleId="left">
    <w:name w:val="left"/>
    <w:basedOn w:val="a0"/>
    <w:rsid w:val="0052401F"/>
  </w:style>
  <w:style w:type="character" w:customStyle="1" w:styleId="aa">
    <w:name w:val="Цветовое выделение"/>
    <w:uiPriority w:val="99"/>
    <w:rsid w:val="00A166B5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F1499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4992"/>
  </w:style>
  <w:style w:type="character" w:styleId="ad">
    <w:name w:val="endnote reference"/>
    <w:basedOn w:val="a0"/>
    <w:uiPriority w:val="99"/>
    <w:semiHidden/>
    <w:unhideWhenUsed/>
    <w:rsid w:val="00F1499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4528B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No Spacing"/>
    <w:uiPriority w:val="1"/>
    <w:qFormat/>
    <w:rsid w:val="004528BD"/>
    <w:rPr>
      <w:rFonts w:eastAsia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4528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528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A1D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A799A"/>
    <w:pPr>
      <w:ind w:left="720"/>
    </w:pPr>
    <w:rPr>
      <w:rFonts w:cs="Calibri"/>
      <w:lang w:eastAsia="en-US"/>
    </w:rPr>
  </w:style>
  <w:style w:type="paragraph" w:customStyle="1" w:styleId="af2">
    <w:name w:val="МОН основной"/>
    <w:basedOn w:val="a"/>
    <w:rsid w:val="00503D1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2C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44DF"/>
    <w:rPr>
      <w:rFonts w:ascii="Times New Roman" w:eastAsia="Calibri" w:hAnsi="Times New Roman"/>
      <w:sz w:val="24"/>
      <w:szCs w:val="24"/>
    </w:rPr>
  </w:style>
  <w:style w:type="paragraph" w:customStyle="1" w:styleId="af5">
    <w:name w:val="текст"/>
    <w:basedOn w:val="a"/>
    <w:uiPriority w:val="99"/>
    <w:rsid w:val="0039443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styleId="af6">
    <w:name w:val="footer"/>
    <w:basedOn w:val="a"/>
    <w:link w:val="af7"/>
    <w:uiPriority w:val="99"/>
    <w:unhideWhenUsed/>
    <w:rsid w:val="0039443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94437"/>
    <w:rPr>
      <w:sz w:val="22"/>
      <w:szCs w:val="22"/>
    </w:rPr>
  </w:style>
  <w:style w:type="paragraph" w:styleId="af8">
    <w:name w:val="Plain Text"/>
    <w:basedOn w:val="a"/>
    <w:link w:val="af9"/>
    <w:uiPriority w:val="99"/>
    <w:unhideWhenUsed/>
    <w:rsid w:val="00EC19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EC1990"/>
    <w:rPr>
      <w:rFonts w:ascii="Consolas" w:eastAsia="Calibri" w:hAnsi="Consolas"/>
      <w:sz w:val="21"/>
      <w:szCs w:val="21"/>
    </w:rPr>
  </w:style>
  <w:style w:type="table" w:customStyle="1" w:styleId="12">
    <w:name w:val="Сетка таблицы1"/>
    <w:basedOn w:val="a1"/>
    <w:next w:val="a5"/>
    <w:uiPriority w:val="59"/>
    <w:rsid w:val="00BF16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8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Normal (Web)"/>
    <w:basedOn w:val="a"/>
    <w:uiPriority w:val="99"/>
    <w:unhideWhenUsed/>
    <w:rsid w:val="002F5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475D43"/>
    <w:rPr>
      <w:i/>
      <w:iCs/>
    </w:rPr>
  </w:style>
  <w:style w:type="character" w:styleId="a9">
    <w:name w:val="Strong"/>
    <w:basedOn w:val="a0"/>
    <w:uiPriority w:val="22"/>
    <w:qFormat/>
    <w:rsid w:val="00797860"/>
    <w:rPr>
      <w:b/>
      <w:bCs/>
    </w:rPr>
  </w:style>
  <w:style w:type="character" w:customStyle="1" w:styleId="left">
    <w:name w:val="left"/>
    <w:basedOn w:val="a0"/>
    <w:rsid w:val="0052401F"/>
  </w:style>
  <w:style w:type="character" w:customStyle="1" w:styleId="aa">
    <w:name w:val="Цветовое выделение"/>
    <w:uiPriority w:val="99"/>
    <w:rsid w:val="00A166B5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F1499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4992"/>
  </w:style>
  <w:style w:type="character" w:styleId="ad">
    <w:name w:val="endnote reference"/>
    <w:basedOn w:val="a0"/>
    <w:uiPriority w:val="99"/>
    <w:semiHidden/>
    <w:unhideWhenUsed/>
    <w:rsid w:val="00F1499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4528B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No Spacing"/>
    <w:uiPriority w:val="1"/>
    <w:qFormat/>
    <w:rsid w:val="004528BD"/>
    <w:rPr>
      <w:rFonts w:eastAsia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4528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528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A1D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A799A"/>
    <w:pPr>
      <w:ind w:left="720"/>
    </w:pPr>
    <w:rPr>
      <w:rFonts w:cs="Calibri"/>
      <w:lang w:eastAsia="en-US"/>
    </w:rPr>
  </w:style>
  <w:style w:type="paragraph" w:customStyle="1" w:styleId="af2">
    <w:name w:val="МОН основной"/>
    <w:basedOn w:val="a"/>
    <w:rsid w:val="00503D1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2C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44DF"/>
    <w:rPr>
      <w:rFonts w:ascii="Times New Roman" w:eastAsia="Calibri" w:hAnsi="Times New Roman"/>
      <w:sz w:val="24"/>
      <w:szCs w:val="24"/>
    </w:rPr>
  </w:style>
  <w:style w:type="paragraph" w:customStyle="1" w:styleId="af5">
    <w:name w:val="текст"/>
    <w:basedOn w:val="a"/>
    <w:uiPriority w:val="99"/>
    <w:rsid w:val="0039443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styleId="af6">
    <w:name w:val="footer"/>
    <w:basedOn w:val="a"/>
    <w:link w:val="af7"/>
    <w:uiPriority w:val="99"/>
    <w:unhideWhenUsed/>
    <w:rsid w:val="0039443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94437"/>
    <w:rPr>
      <w:sz w:val="22"/>
      <w:szCs w:val="22"/>
    </w:rPr>
  </w:style>
  <w:style w:type="paragraph" w:styleId="af8">
    <w:name w:val="Plain Text"/>
    <w:basedOn w:val="a"/>
    <w:link w:val="af9"/>
    <w:uiPriority w:val="99"/>
    <w:unhideWhenUsed/>
    <w:rsid w:val="00EC19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EC1990"/>
    <w:rPr>
      <w:rFonts w:ascii="Consolas" w:eastAsia="Calibri" w:hAnsi="Consolas"/>
      <w:sz w:val="21"/>
      <w:szCs w:val="21"/>
    </w:rPr>
  </w:style>
  <w:style w:type="table" w:customStyle="1" w:styleId="12">
    <w:name w:val="Сетка таблицы1"/>
    <w:basedOn w:val="a1"/>
    <w:next w:val="a5"/>
    <w:uiPriority w:val="59"/>
    <w:rsid w:val="00BF16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azov.CAP\AppData\Roaming\Microsoft\&#1064;&#1072;&#1073;&#1083;&#1086;&#1085;&#1099;\&#1041;&#1083;&#1072;&#1085;&#1082;_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2368D-17BE-4908-9CFE-E3168E99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Бланк_нов</Template>
  <TotalTime>113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5001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obrazov39</dc:creator>
  <cp:lastModifiedBy>economy21 (Шакшина А.Г.)</cp:lastModifiedBy>
  <cp:revision>15</cp:revision>
  <cp:lastPrinted>2018-02-22T07:02:00Z</cp:lastPrinted>
  <dcterms:created xsi:type="dcterms:W3CDTF">2018-02-17T09:54:00Z</dcterms:created>
  <dcterms:modified xsi:type="dcterms:W3CDTF">2018-03-02T05:21:00Z</dcterms:modified>
</cp:coreProperties>
</file>