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EE" w:rsidRPr="00211754" w:rsidRDefault="00EF4FEE" w:rsidP="00C9111A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Утвержден</w:t>
      </w:r>
    </w:p>
    <w:p w:rsidR="00EF4FEE" w:rsidRPr="00211754" w:rsidRDefault="00EF4FEE" w:rsidP="00C9111A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протокольным решением</w:t>
      </w:r>
    </w:p>
    <w:p w:rsidR="00EF4FEE" w:rsidRPr="00211754" w:rsidRDefault="00EF4FEE" w:rsidP="00C9111A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Совета при Главе Чувашской Республики</w:t>
      </w:r>
    </w:p>
    <w:p w:rsidR="00EF4FEE" w:rsidRPr="00211754" w:rsidRDefault="00EF4FEE" w:rsidP="00C9111A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по стратегическому развитию</w:t>
      </w:r>
    </w:p>
    <w:p w:rsidR="00EF4FEE" w:rsidRPr="00211754" w:rsidRDefault="00EF4FEE" w:rsidP="00C9111A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и приоритетным проектам</w:t>
      </w:r>
    </w:p>
    <w:p w:rsidR="00EF4FEE" w:rsidRPr="00211754" w:rsidRDefault="00EF4FEE" w:rsidP="00C9111A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 xml:space="preserve">от </w:t>
      </w:r>
      <w:r w:rsidR="00C9111A" w:rsidRPr="00211754">
        <w:rPr>
          <w:rFonts w:ascii="Times New Roman" w:hAnsi="Times New Roman" w:cs="Times New Roman"/>
          <w:sz w:val="26"/>
          <w:szCs w:val="26"/>
        </w:rPr>
        <w:t>9 февраля</w:t>
      </w:r>
      <w:r w:rsidRPr="00211754">
        <w:rPr>
          <w:rFonts w:ascii="Times New Roman" w:hAnsi="Times New Roman" w:cs="Times New Roman"/>
          <w:sz w:val="26"/>
          <w:szCs w:val="26"/>
        </w:rPr>
        <w:t xml:space="preserve"> 2017 г.</w:t>
      </w:r>
      <w:r w:rsidR="00C9111A" w:rsidRPr="00211754"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EF4FEE" w:rsidRPr="00211754" w:rsidRDefault="00EF4FEE" w:rsidP="00EF4FEE">
      <w:pPr>
        <w:spacing w:after="0" w:line="240" w:lineRule="auto"/>
        <w:ind w:firstLine="9639"/>
        <w:rPr>
          <w:rFonts w:ascii="Times New Roman" w:hAnsi="Times New Roman" w:cs="Times New Roman"/>
          <w:sz w:val="26"/>
          <w:szCs w:val="26"/>
        </w:rPr>
      </w:pPr>
    </w:p>
    <w:p w:rsidR="005F1CDD" w:rsidRPr="00211754" w:rsidRDefault="00592172" w:rsidP="0000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ПАСПОРТ ПРИОРИТЕТНО</w:t>
      </w:r>
      <w:r w:rsidR="0070378C" w:rsidRPr="00211754">
        <w:rPr>
          <w:rFonts w:ascii="Times New Roman" w:hAnsi="Times New Roman" w:cs="Times New Roman"/>
          <w:sz w:val="26"/>
          <w:szCs w:val="26"/>
        </w:rPr>
        <w:t>Й</w:t>
      </w:r>
      <w:r w:rsidRPr="00211754">
        <w:rPr>
          <w:rFonts w:ascii="Times New Roman" w:hAnsi="Times New Roman" w:cs="Times New Roman"/>
          <w:sz w:val="26"/>
          <w:szCs w:val="26"/>
        </w:rPr>
        <w:t xml:space="preserve"> </w:t>
      </w:r>
      <w:r w:rsidR="0070378C" w:rsidRPr="00211754">
        <w:rPr>
          <w:rFonts w:ascii="Times New Roman" w:hAnsi="Times New Roman" w:cs="Times New Roman"/>
          <w:sz w:val="26"/>
          <w:szCs w:val="26"/>
        </w:rPr>
        <w:t>ПРОГРАММЫ</w:t>
      </w:r>
      <w:r w:rsidRPr="00211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172" w:rsidRPr="00211754" w:rsidRDefault="00592172" w:rsidP="00006A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754">
        <w:rPr>
          <w:rFonts w:ascii="Times New Roman" w:hAnsi="Times New Roman" w:cs="Times New Roman"/>
          <w:b/>
          <w:sz w:val="26"/>
          <w:szCs w:val="26"/>
        </w:rPr>
        <w:t>«</w:t>
      </w:r>
      <w:r w:rsidR="009135C6" w:rsidRPr="00211754">
        <w:rPr>
          <w:rFonts w:ascii="Times New Roman" w:hAnsi="Times New Roman" w:cs="Times New Roman"/>
          <w:b/>
          <w:sz w:val="26"/>
          <w:szCs w:val="26"/>
        </w:rPr>
        <w:t>Международная кооперация и экспорт</w:t>
      </w:r>
      <w:r w:rsidRPr="00211754">
        <w:rPr>
          <w:rFonts w:ascii="Times New Roman" w:hAnsi="Times New Roman" w:cs="Times New Roman"/>
          <w:b/>
          <w:sz w:val="26"/>
          <w:szCs w:val="26"/>
        </w:rPr>
        <w:t>»</w:t>
      </w:r>
    </w:p>
    <w:p w:rsidR="008B2B90" w:rsidRPr="00211754" w:rsidRDefault="008B2B90" w:rsidP="00006A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11A" w:rsidRPr="00211754" w:rsidRDefault="00C9111A" w:rsidP="00006A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172" w:rsidRPr="00211754" w:rsidRDefault="00592172" w:rsidP="008B2B9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C9111A" w:rsidRPr="00211754" w:rsidRDefault="00C9111A" w:rsidP="00C9111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545"/>
        <w:gridCol w:w="4501"/>
        <w:gridCol w:w="3119"/>
        <w:gridCol w:w="3685"/>
      </w:tblGrid>
      <w:tr w:rsidR="00592172" w:rsidRPr="00211754" w:rsidTr="00592172">
        <w:tc>
          <w:tcPr>
            <w:tcW w:w="3545" w:type="dxa"/>
          </w:tcPr>
          <w:p w:rsidR="00592172" w:rsidRPr="00211754" w:rsidRDefault="00592172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</w:tc>
        <w:tc>
          <w:tcPr>
            <w:tcW w:w="11305" w:type="dxa"/>
            <w:gridSpan w:val="3"/>
          </w:tcPr>
          <w:p w:rsidR="00592172" w:rsidRPr="00211754" w:rsidRDefault="00592172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35C6" w:rsidRPr="00211754">
              <w:rPr>
                <w:rFonts w:ascii="Times New Roman" w:hAnsi="Times New Roman" w:cs="Times New Roman"/>
                <w:sz w:val="26"/>
                <w:szCs w:val="26"/>
              </w:rPr>
              <w:t>Международная кооперация и экспорт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111A" w:rsidRPr="00211754" w:rsidRDefault="00C9111A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172" w:rsidRPr="00211754" w:rsidTr="00592172">
        <w:tc>
          <w:tcPr>
            <w:tcW w:w="3545" w:type="dxa"/>
          </w:tcPr>
          <w:p w:rsidR="005D6E6F" w:rsidRPr="00211754" w:rsidRDefault="00592172" w:rsidP="007037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Краткое наименование </w:t>
            </w:r>
          </w:p>
          <w:p w:rsidR="00592172" w:rsidRPr="00211754" w:rsidRDefault="0070378C" w:rsidP="00703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4501" w:type="dxa"/>
          </w:tcPr>
          <w:p w:rsidR="005D6E6F" w:rsidRPr="00211754" w:rsidRDefault="009135C6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кооперация и </w:t>
            </w:r>
          </w:p>
          <w:p w:rsidR="00592172" w:rsidRPr="00211754" w:rsidRDefault="009135C6" w:rsidP="00454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экспорт</w:t>
            </w:r>
          </w:p>
        </w:tc>
        <w:tc>
          <w:tcPr>
            <w:tcW w:w="3119" w:type="dxa"/>
          </w:tcPr>
          <w:p w:rsidR="00592172" w:rsidRPr="00211754" w:rsidRDefault="00592172" w:rsidP="00444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Срок начала и окончания </w:t>
            </w:r>
            <w:r w:rsidR="00444947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685" w:type="dxa"/>
          </w:tcPr>
          <w:p w:rsidR="007F26AD" w:rsidRPr="00211754" w:rsidRDefault="005E1A58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D6E6F" w:rsidRPr="00211754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="007F26AD"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59217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92172" w:rsidRPr="00211754" w:rsidRDefault="00EF4FEE" w:rsidP="005E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1A58" w:rsidRPr="00211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6E6F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1A58" w:rsidRPr="0021175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D6E6F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2172" w:rsidRPr="0021175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E1A58" w:rsidRPr="002117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72" w:rsidRPr="00211754" w:rsidTr="00294B94">
        <w:tc>
          <w:tcPr>
            <w:tcW w:w="3545" w:type="dxa"/>
          </w:tcPr>
          <w:p w:rsidR="00592172" w:rsidRPr="00211754" w:rsidRDefault="00592172" w:rsidP="00703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Куратор </w:t>
            </w:r>
            <w:r w:rsidR="0070378C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1305" w:type="dxa"/>
            <w:gridSpan w:val="3"/>
          </w:tcPr>
          <w:p w:rsidR="00BD317E" w:rsidRPr="00211754" w:rsidRDefault="007F26AD" w:rsidP="00BD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Аврелькин В.А. – заместитель Председателя Кабинета Министров Чувашской Республики </w:t>
            </w:r>
            <w:r w:rsidR="00BD317E"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592172" w:rsidRPr="00211754" w:rsidRDefault="007F26AD" w:rsidP="00BD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министр экономического развития, промышленности и торговли Чувашской Республики</w:t>
            </w:r>
          </w:p>
        </w:tc>
      </w:tr>
      <w:tr w:rsidR="00EF4FEE" w:rsidRPr="00211754" w:rsidTr="00EF4FEE">
        <w:tc>
          <w:tcPr>
            <w:tcW w:w="3545" w:type="dxa"/>
          </w:tcPr>
          <w:p w:rsidR="00EF4FEE" w:rsidRPr="00211754" w:rsidRDefault="00EF4FEE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Старшее должностное лицо (СДЛ)</w:t>
            </w:r>
            <w:r w:rsidR="00A5000B" w:rsidRPr="0021175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1305" w:type="dxa"/>
            <w:gridSpan w:val="3"/>
          </w:tcPr>
          <w:p w:rsidR="00EF4FEE" w:rsidRPr="00211754" w:rsidRDefault="00444947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592172" w:rsidRPr="00211754" w:rsidTr="00294B94">
        <w:tc>
          <w:tcPr>
            <w:tcW w:w="3545" w:type="dxa"/>
          </w:tcPr>
          <w:p w:rsidR="00592172" w:rsidRPr="00211754" w:rsidRDefault="00592172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Функциональный заказчик</w:t>
            </w:r>
          </w:p>
        </w:tc>
        <w:tc>
          <w:tcPr>
            <w:tcW w:w="11305" w:type="dxa"/>
            <w:gridSpan w:val="3"/>
          </w:tcPr>
          <w:p w:rsidR="00592172" w:rsidRPr="00211754" w:rsidRDefault="00891F35" w:rsidP="00EF4F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развития, промышленности и торговли Чувашской Республики</w:t>
            </w:r>
            <w:r w:rsidR="00E47959" w:rsidRPr="002117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Аврелькин В.А.</w:t>
            </w:r>
            <w:r w:rsidR="00EF4FEE" w:rsidRPr="002117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9217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Кабинета Министров Чувашской Республики – м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нистр экономического развития, промышленности и торговли Чувашской Республики</w:t>
            </w:r>
          </w:p>
        </w:tc>
      </w:tr>
      <w:tr w:rsidR="00592172" w:rsidRPr="00211754" w:rsidTr="00294B94">
        <w:tc>
          <w:tcPr>
            <w:tcW w:w="3545" w:type="dxa"/>
          </w:tcPr>
          <w:p w:rsidR="00592172" w:rsidRPr="00211754" w:rsidRDefault="00592172" w:rsidP="004F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F0E56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1305" w:type="dxa"/>
            <w:gridSpan w:val="3"/>
          </w:tcPr>
          <w:p w:rsidR="00592172" w:rsidRPr="00211754" w:rsidRDefault="008D4184" w:rsidP="00EF4F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Ланцова О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D5CEF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F4FEE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 экономического развития, промышленности и торговли Ч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436CC" w:rsidRPr="00211754">
              <w:rPr>
                <w:rFonts w:ascii="Times New Roman" w:hAnsi="Times New Roman" w:cs="Times New Roman"/>
                <w:sz w:val="26"/>
                <w:szCs w:val="26"/>
              </w:rPr>
              <w:t>вашской Республики</w:t>
            </w:r>
          </w:p>
        </w:tc>
      </w:tr>
      <w:tr w:rsidR="00592172" w:rsidRPr="00211754" w:rsidTr="00294B94">
        <w:tc>
          <w:tcPr>
            <w:tcW w:w="3545" w:type="dxa"/>
          </w:tcPr>
          <w:p w:rsidR="00592172" w:rsidRPr="00211754" w:rsidRDefault="00592172" w:rsidP="004F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Исполнители и соисполнит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ли мероприятий </w:t>
            </w:r>
            <w:r w:rsidR="004F0E56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1305" w:type="dxa"/>
            <w:gridSpan w:val="3"/>
          </w:tcPr>
          <w:p w:rsidR="00592172" w:rsidRPr="00211754" w:rsidRDefault="00592172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7F1F44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развития, промышленности </w:t>
            </w:r>
            <w:r w:rsidR="0098444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Чувашской Республики;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7F1F44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строительства, архитектуры и жилищно-коммунального хозяйства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Чувашской Ре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 w:rsidR="0098444D" w:rsidRPr="002117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92172" w:rsidRPr="00211754" w:rsidRDefault="00592172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7F1F44" w:rsidRPr="00211754">
              <w:rPr>
                <w:rFonts w:ascii="Times New Roman" w:hAnsi="Times New Roman" w:cs="Times New Roman"/>
                <w:sz w:val="26"/>
                <w:szCs w:val="26"/>
              </w:rPr>
              <w:t>сельского хозяйства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98444D" w:rsidRPr="002117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26AD" w:rsidRPr="00211754" w:rsidRDefault="007F26AD" w:rsidP="00006A7E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175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АНО «Центр координации поддержки экспортно-ориентированных субъектов малого и среднего предпринимательства в Чувашской Республике»</w:t>
            </w:r>
            <w:r w:rsidR="0098444D" w:rsidRPr="0021175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7F26AD" w:rsidRPr="00211754" w:rsidRDefault="007F26AD" w:rsidP="00006A7E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175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ПАО «Корпорация развития Чувашской Республики»</w:t>
            </w:r>
            <w:r w:rsidR="0098444D" w:rsidRPr="0021175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7F26AD" w:rsidRPr="00211754" w:rsidRDefault="007F26AD" w:rsidP="00006A7E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175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Чувашский таможенный пост</w:t>
            </w:r>
            <w:r w:rsidR="0098444D" w:rsidRPr="0021175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Нижегородской таможни;</w:t>
            </w:r>
          </w:p>
          <w:p w:rsidR="007F26AD" w:rsidRPr="00211754" w:rsidRDefault="007F26AD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Союз «Торгово-промышленная палата Чувашской Республики»</w:t>
            </w:r>
            <w:r w:rsidR="0098444D" w:rsidRPr="002117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8444D" w:rsidRPr="00211754" w:rsidRDefault="0098444D" w:rsidP="009844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Чувашской Республики «Фонд развития промышленности и инвестиц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онной деятельности в Чувашской Республике»</w:t>
            </w:r>
            <w:r w:rsidR="005D6E6F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экономического развития, промы</w:t>
            </w:r>
            <w:r w:rsidR="005D6E6F" w:rsidRPr="0021175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5D6E6F" w:rsidRPr="00211754">
              <w:rPr>
                <w:rFonts w:ascii="Times New Roman" w:hAnsi="Times New Roman" w:cs="Times New Roman"/>
                <w:sz w:val="26"/>
                <w:szCs w:val="26"/>
              </w:rPr>
              <w:t>ленности и торговли Чувашской Республики;</w:t>
            </w:r>
          </w:p>
          <w:p w:rsidR="00592172" w:rsidRPr="00211754" w:rsidRDefault="00891F35" w:rsidP="005D6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экспортно</w:t>
            </w:r>
            <w:r w:rsidR="005D6E6F" w:rsidRPr="002117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ориентированные </w:t>
            </w:r>
            <w:r w:rsidR="00EF4FEE" w:rsidRPr="00211754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, инвесторы</w:t>
            </w:r>
          </w:p>
        </w:tc>
      </w:tr>
      <w:tr w:rsidR="00592172" w:rsidRPr="00211754" w:rsidTr="00294B94">
        <w:tc>
          <w:tcPr>
            <w:tcW w:w="3545" w:type="dxa"/>
          </w:tcPr>
          <w:p w:rsidR="009C0044" w:rsidRPr="00211754" w:rsidRDefault="00592172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Разработчик паспорта </w:t>
            </w:r>
          </w:p>
          <w:p w:rsidR="00592172" w:rsidRPr="00211754" w:rsidRDefault="004F0E56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1305" w:type="dxa"/>
            <w:gridSpan w:val="3"/>
          </w:tcPr>
          <w:p w:rsidR="00592172" w:rsidRPr="00211754" w:rsidRDefault="00F63457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  <w:r w:rsidR="007F1F44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развития, промышленности и торговли Чувашской Республики</w:t>
            </w:r>
          </w:p>
        </w:tc>
      </w:tr>
    </w:tbl>
    <w:p w:rsidR="006C7323" w:rsidRPr="00211754" w:rsidRDefault="00A5000B" w:rsidP="006C732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 xml:space="preserve">* </w:t>
      </w:r>
      <w:r w:rsidRPr="00211754">
        <w:rPr>
          <w:rFonts w:ascii="Times New Roman" w:hAnsi="Times New Roman" w:cs="Times New Roman"/>
          <w:sz w:val="20"/>
          <w:szCs w:val="20"/>
        </w:rPr>
        <w:t>необязательная позиция, назначается по решению Совета</w:t>
      </w:r>
    </w:p>
    <w:p w:rsidR="00A5000B" w:rsidRPr="00211754" w:rsidRDefault="00A5000B" w:rsidP="006C732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172" w:rsidRPr="00211754" w:rsidRDefault="00592172" w:rsidP="00006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Содержание приоритетно</w:t>
      </w:r>
      <w:r w:rsidR="004F0E56" w:rsidRPr="00211754">
        <w:rPr>
          <w:rFonts w:ascii="Times New Roman" w:hAnsi="Times New Roman" w:cs="Times New Roman"/>
          <w:sz w:val="26"/>
          <w:szCs w:val="26"/>
        </w:rPr>
        <w:t>й</w:t>
      </w:r>
      <w:r w:rsidRPr="00211754">
        <w:rPr>
          <w:rFonts w:ascii="Times New Roman" w:hAnsi="Times New Roman" w:cs="Times New Roman"/>
          <w:sz w:val="26"/>
          <w:szCs w:val="26"/>
        </w:rPr>
        <w:t xml:space="preserve"> </w:t>
      </w:r>
      <w:r w:rsidR="004F0E56" w:rsidRPr="00211754">
        <w:rPr>
          <w:rFonts w:ascii="Times New Roman" w:hAnsi="Times New Roman" w:cs="Times New Roman"/>
          <w:sz w:val="26"/>
          <w:szCs w:val="26"/>
        </w:rPr>
        <w:t>программы</w:t>
      </w:r>
    </w:p>
    <w:p w:rsidR="00C9111A" w:rsidRPr="00211754" w:rsidRDefault="00C9111A" w:rsidP="00C9111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1276"/>
        <w:gridCol w:w="1134"/>
        <w:gridCol w:w="1275"/>
        <w:gridCol w:w="1418"/>
        <w:gridCol w:w="1134"/>
        <w:gridCol w:w="1417"/>
      </w:tblGrid>
      <w:tr w:rsidR="0031116D" w:rsidRPr="00211754" w:rsidTr="008D4184">
        <w:tc>
          <w:tcPr>
            <w:tcW w:w="1951" w:type="dxa"/>
          </w:tcPr>
          <w:p w:rsidR="0031116D" w:rsidRPr="00211754" w:rsidRDefault="0031116D" w:rsidP="004F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  <w:p w:rsidR="0031116D" w:rsidRPr="00211754" w:rsidRDefault="0031116D" w:rsidP="004F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2899" w:type="dxa"/>
            <w:gridSpan w:val="8"/>
          </w:tcPr>
          <w:p w:rsidR="00D400C8" w:rsidRPr="00211754" w:rsidRDefault="0031116D" w:rsidP="00D40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82FF8" w:rsidRPr="00211754">
              <w:rPr>
                <w:rFonts w:ascii="Times New Roman" w:hAnsi="Times New Roman" w:cs="Times New Roman"/>
                <w:sz w:val="26"/>
                <w:szCs w:val="26"/>
              </w:rPr>
              <w:t>формировать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благоприятную экспортно-ориентированную среду для ведения экспортной деятельности</w:t>
            </w:r>
            <w:r w:rsidR="00D400C8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116D" w:rsidRPr="00211754" w:rsidRDefault="00D400C8" w:rsidP="00D40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с участием АО «Российский экспортный центр» на базе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 </w:t>
            </w:r>
            <w:r w:rsidR="0031116D" w:rsidRPr="00211754">
              <w:rPr>
                <w:rFonts w:ascii="Times New Roman" w:hAnsi="Times New Roman" w:cs="Times New Roman"/>
                <w:sz w:val="26"/>
                <w:szCs w:val="26"/>
              </w:rPr>
              <w:t>комплекс государственных инструментов финансовой и нефинансовой поддержки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с охватом в 2018 году не менее 240 компаний-экспортеров и  </w:t>
            </w:r>
            <w:r w:rsidR="009F5083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300 компаний-экспортеров в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2025 году</w:t>
            </w:r>
            <w:r w:rsidR="0031116D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400C8" w:rsidRPr="00211754" w:rsidRDefault="00D400C8" w:rsidP="00D40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991" w:rsidRPr="00211754" w:rsidTr="00577D19">
        <w:tc>
          <w:tcPr>
            <w:tcW w:w="1951" w:type="dxa"/>
            <w:vMerge w:val="restart"/>
          </w:tcPr>
          <w:p w:rsidR="00E91991" w:rsidRPr="00211754" w:rsidRDefault="00E91991" w:rsidP="004F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Показатели программы и их значения по годам</w:t>
            </w:r>
          </w:p>
        </w:tc>
        <w:tc>
          <w:tcPr>
            <w:tcW w:w="3402" w:type="dxa"/>
            <w:vMerge w:val="restart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843" w:type="dxa"/>
            <w:vMerge w:val="restart"/>
          </w:tcPr>
          <w:p w:rsidR="00E91991" w:rsidRPr="00211754" w:rsidRDefault="00E91991" w:rsidP="005D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Тип показат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ля (основной, аналитич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ский)</w:t>
            </w:r>
          </w:p>
        </w:tc>
        <w:tc>
          <w:tcPr>
            <w:tcW w:w="1276" w:type="dxa"/>
            <w:vMerge w:val="restart"/>
          </w:tcPr>
          <w:p w:rsidR="00E91991" w:rsidRPr="00211754" w:rsidRDefault="00E91991" w:rsidP="00A5000B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Базовое знач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21175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6378" w:type="dxa"/>
            <w:gridSpan w:val="5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E91991" w:rsidRPr="00211754" w:rsidTr="00577D19"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8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E91991" w:rsidRPr="00211754" w:rsidTr="00577D19"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991" w:rsidRPr="00211754" w:rsidTr="00E91991">
        <w:trPr>
          <w:trHeight w:val="236"/>
        </w:trPr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E91991" w:rsidRPr="00211754" w:rsidRDefault="00E91991" w:rsidP="005D6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Объем экспорта продукции, млн. долла</w:t>
            </w:r>
            <w:bookmarkStart w:id="0" w:name="_GoBack"/>
            <w:bookmarkEnd w:id="0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ров США</w:t>
            </w:r>
          </w:p>
        </w:tc>
        <w:tc>
          <w:tcPr>
            <w:tcW w:w="1843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(вариант 1 – </w:t>
            </w:r>
            <w:proofErr w:type="gramEnd"/>
          </w:p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базовый)</w:t>
            </w:r>
          </w:p>
        </w:tc>
        <w:tc>
          <w:tcPr>
            <w:tcW w:w="1276" w:type="dxa"/>
            <w:vMerge w:val="restart"/>
            <w:vAlign w:val="center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139,2</w:t>
            </w:r>
          </w:p>
        </w:tc>
        <w:tc>
          <w:tcPr>
            <w:tcW w:w="1134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145,0</w:t>
            </w:r>
          </w:p>
        </w:tc>
        <w:tc>
          <w:tcPr>
            <w:tcW w:w="1275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418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170,0</w:t>
            </w: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417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991" w:rsidRPr="00211754" w:rsidTr="00577D19">
        <w:trPr>
          <w:trHeight w:val="236"/>
        </w:trPr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91991" w:rsidRPr="00211754" w:rsidRDefault="00E91991" w:rsidP="005D6E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(вариант 2 – </w:t>
            </w:r>
            <w:proofErr w:type="gramEnd"/>
          </w:p>
          <w:p w:rsidR="00E91991" w:rsidRPr="00211754" w:rsidRDefault="000C1F24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>целевой</w:t>
            </w:r>
            <w:r w:rsidR="00E91991"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155,0</w:t>
            </w:r>
          </w:p>
        </w:tc>
        <w:tc>
          <w:tcPr>
            <w:tcW w:w="1275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418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134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417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E91991" w:rsidRPr="00211754" w:rsidTr="00E91991">
        <w:trPr>
          <w:trHeight w:val="346"/>
        </w:trPr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E91991" w:rsidRPr="00211754" w:rsidRDefault="00E91991" w:rsidP="000E72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Объем экспорта машин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строительной продукции, млн. долларов США</w:t>
            </w:r>
          </w:p>
        </w:tc>
        <w:tc>
          <w:tcPr>
            <w:tcW w:w="1843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(вариант 1 – </w:t>
            </w:r>
            <w:proofErr w:type="gramEnd"/>
          </w:p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базовый)</w:t>
            </w:r>
          </w:p>
        </w:tc>
        <w:tc>
          <w:tcPr>
            <w:tcW w:w="1276" w:type="dxa"/>
            <w:vMerge w:val="restart"/>
            <w:vAlign w:val="center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1275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418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91991" w:rsidRPr="00211754" w:rsidTr="00577D19">
        <w:trPr>
          <w:trHeight w:val="345"/>
        </w:trPr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91991" w:rsidRPr="00211754" w:rsidRDefault="00E91991" w:rsidP="000E72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C1F24" w:rsidRPr="00211754" w:rsidRDefault="000C1F24" w:rsidP="000C1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  <w:p w:rsidR="000C1F24" w:rsidRPr="00211754" w:rsidRDefault="000C1F24" w:rsidP="000C1F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(вариант 2 – </w:t>
            </w:r>
            <w:proofErr w:type="gramEnd"/>
          </w:p>
          <w:p w:rsidR="00E91991" w:rsidRPr="00211754" w:rsidRDefault="000C1F24" w:rsidP="000C1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целевой)</w:t>
            </w:r>
          </w:p>
        </w:tc>
        <w:tc>
          <w:tcPr>
            <w:tcW w:w="1276" w:type="dxa"/>
            <w:vMerge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275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1418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34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417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E91991" w:rsidRPr="00211754" w:rsidTr="00E91991">
        <w:trPr>
          <w:trHeight w:val="1262"/>
        </w:trPr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E91991" w:rsidRPr="00211754" w:rsidRDefault="00E91991" w:rsidP="00E83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Количество экспортеров, воспользовавшихся услуг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ми АНО «Центр координ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ции поддержки экспортно-ориентированных субъектов малого и среднего предпр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нимательства в Чувашской Республ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ке»/представительством АО «Российский экспор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ный центр», ед.</w:t>
            </w:r>
          </w:p>
        </w:tc>
        <w:tc>
          <w:tcPr>
            <w:tcW w:w="1843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(вариант 1 – </w:t>
            </w:r>
            <w:proofErr w:type="gramEnd"/>
          </w:p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базовый)</w:t>
            </w:r>
          </w:p>
        </w:tc>
        <w:tc>
          <w:tcPr>
            <w:tcW w:w="1276" w:type="dxa"/>
            <w:vMerge w:val="restart"/>
            <w:vAlign w:val="center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134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275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418" w:type="dxa"/>
          </w:tcPr>
          <w:p w:rsidR="00E91991" w:rsidRPr="00211754" w:rsidRDefault="00E91991" w:rsidP="00E21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DDA" w:rsidRPr="0021175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E91991" w:rsidRPr="00211754" w:rsidRDefault="00E91991" w:rsidP="00E21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DDA" w:rsidRPr="0021175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E91991" w:rsidRPr="00211754" w:rsidRDefault="00E91991" w:rsidP="00E21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DDA" w:rsidRPr="002117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91991" w:rsidRPr="00211754" w:rsidTr="00577D19">
        <w:trPr>
          <w:trHeight w:val="1261"/>
        </w:trPr>
        <w:tc>
          <w:tcPr>
            <w:tcW w:w="1951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1991" w:rsidRPr="00211754" w:rsidRDefault="00E91991" w:rsidP="00E83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C1F24" w:rsidRPr="00211754" w:rsidRDefault="000C1F24" w:rsidP="000C1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  <w:p w:rsidR="000C1F24" w:rsidRPr="00211754" w:rsidRDefault="000C1F24" w:rsidP="000C1F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(вариант 2 – </w:t>
            </w:r>
            <w:proofErr w:type="gramEnd"/>
          </w:p>
          <w:p w:rsidR="00E91991" w:rsidRPr="00211754" w:rsidRDefault="000C1F24" w:rsidP="000C1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i/>
                <w:sz w:val="20"/>
                <w:szCs w:val="20"/>
              </w:rPr>
              <w:t>целевой)</w:t>
            </w:r>
          </w:p>
        </w:tc>
        <w:tc>
          <w:tcPr>
            <w:tcW w:w="1276" w:type="dxa"/>
            <w:vMerge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275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34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417" w:type="dxa"/>
          </w:tcPr>
          <w:p w:rsidR="00E91991" w:rsidRPr="00211754" w:rsidRDefault="00E91991" w:rsidP="00E91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91991" w:rsidRPr="00211754" w:rsidTr="00577D19">
        <w:tc>
          <w:tcPr>
            <w:tcW w:w="1951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91991" w:rsidRPr="00211754" w:rsidRDefault="00E91991" w:rsidP="005D6E6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Количество документов, требуемых для пропуска т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вара через границу, штук</w:t>
            </w:r>
          </w:p>
        </w:tc>
        <w:tc>
          <w:tcPr>
            <w:tcW w:w="1843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275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7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91991" w:rsidRPr="00211754" w:rsidTr="00577D19">
        <w:tc>
          <w:tcPr>
            <w:tcW w:w="1951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91991" w:rsidRPr="00211754" w:rsidRDefault="00E91991" w:rsidP="00E8350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Срок подготовки докуме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тов, необходимых для пр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хождения всех процедур, связанных с перемещением экспортируемых товаров, которые не идентифицир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ваны как рисковые товары, требующие дополнительной проверки, через границу, дней</w:t>
            </w:r>
          </w:p>
        </w:tc>
        <w:tc>
          <w:tcPr>
            <w:tcW w:w="1843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275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7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91991" w:rsidRPr="00211754" w:rsidTr="00577D19">
        <w:tc>
          <w:tcPr>
            <w:tcW w:w="1951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91991" w:rsidRPr="00211754" w:rsidRDefault="00E91991" w:rsidP="009E21F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Срок прохождения там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женных операций и там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женных процедур для тов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ров, которые не идентиф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цированы как рисковые т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вары, требующие дополн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тельной проверки, часов</w:t>
            </w:r>
          </w:p>
        </w:tc>
        <w:tc>
          <w:tcPr>
            <w:tcW w:w="1843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275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</w:tcPr>
          <w:p w:rsidR="00E91991" w:rsidRPr="00211754" w:rsidRDefault="00E91991" w:rsidP="00577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7" w:type="dxa"/>
          </w:tcPr>
          <w:p w:rsidR="00E91991" w:rsidRPr="00211754" w:rsidRDefault="00E919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91991" w:rsidRPr="00211754" w:rsidTr="00577D19">
        <w:tc>
          <w:tcPr>
            <w:tcW w:w="1951" w:type="dxa"/>
          </w:tcPr>
          <w:p w:rsidR="00E91991" w:rsidRPr="00211754" w:rsidRDefault="00E91991" w:rsidP="004F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Результаты программы</w:t>
            </w:r>
          </w:p>
        </w:tc>
        <w:tc>
          <w:tcPr>
            <w:tcW w:w="12899" w:type="dxa"/>
            <w:gridSpan w:val="8"/>
          </w:tcPr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1. Развитие институциональной среды поддержки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экспорта: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- реализован комплекс мер для обеспечения потребностей экспортеров в мерах финансовой поддержки;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- реализован комплекс мер нефинансовой поддержки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- реализован механизм взаимодействия с отраслевыми, некоммерческими и деловыми ассоциациями в целях 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действия реализации программ, предусматривающих: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механизм субсидирования поддержки продвижений организаций на внешние рынки (выставки, </w:t>
            </w:r>
            <w:proofErr w:type="gram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бизнес-миссии</w:t>
            </w:r>
            <w:proofErr w:type="gram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и др.);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механизм субсидирования региональной инфраструктуры поддержки экспорта.</w:t>
            </w:r>
          </w:p>
          <w:p w:rsidR="00E91991" w:rsidRPr="00211754" w:rsidRDefault="00E91991" w:rsidP="00263A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Планируется довести объем финансирования реализации программ, направленных на поддержку экспортной д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ятельности, за счет средств республиканского бюджета Чувашской Республики не менее 10 млн. рублей ежего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но.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2. Создание точки присутствия АО «Российский экспортный центр» в Чувашской Республике.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В 2017 году планируется заключить агентское соглашение на исполнение функций  АО «Российский экспортный центр» автономной некоммерческой организацией «Центр координации поддержки экспортно-ориентированных субъектов малого и среднего предпринимательства в Чувашской Республике».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3. Обеспечение комплекса мероприятий по содействию развития предпринимательской инициативы и вовлеч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нию предпринимателей в экспортную деятельность, в том числе путем: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- содействия участию в выставочных мероприятиях;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- функционирования информационно-образовательной среды для консультационного сопровождения потребн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стей экспортеров.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Планируется довести количество формируемых коллективных экспозиций предприятий Чувашской Республики не менее чем на 10 выставочных мероприятиях в год; количество оказанных консультационных услуг – не менее 450 ежегодно.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4. Снижение издержек экспортеров за счет оптимизации административных процедур.</w:t>
            </w:r>
          </w:p>
          <w:p w:rsidR="00E91991" w:rsidRPr="00211754" w:rsidRDefault="00E91991" w:rsidP="00177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документов, требуемых для пропуска товара через границу, к концу реализации паспорта не должно превышать 4 единиц; а срок прохождения таможенных операций и таможенных процедур для товаров, которые не идентифицированы как рисковые товары, требующие дополнительной проверки – 2 часов.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991" w:rsidRPr="00211754" w:rsidTr="00577D19">
        <w:tc>
          <w:tcPr>
            <w:tcW w:w="1951" w:type="dxa"/>
          </w:tcPr>
          <w:p w:rsidR="00E91991" w:rsidRPr="00211754" w:rsidRDefault="00E91991" w:rsidP="004F0E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Описание м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дели функци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нирования 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зультатов пр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12899" w:type="dxa"/>
            <w:gridSpan w:val="8"/>
          </w:tcPr>
          <w:p w:rsidR="00E91991" w:rsidRPr="00211754" w:rsidRDefault="00E91991" w:rsidP="00017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1. Развитие институциональной среды поддержки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экспорта.</w:t>
            </w:r>
          </w:p>
          <w:p w:rsidR="00E91991" w:rsidRPr="00211754" w:rsidRDefault="00E91991" w:rsidP="00006A7E">
            <w:pPr>
              <w:pStyle w:val="a3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Реализован комплекс мер для обеспечения потребностей экспортеров в мерах финансовой поддержки.</w:t>
            </w:r>
          </w:p>
          <w:p w:rsidR="00E91991" w:rsidRPr="00211754" w:rsidRDefault="00E91991" w:rsidP="00006A7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мер по оказанию системной финансовой поддержки российского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 направлен на достижение целевых показателей программы за счет повышения конкурентоспособности предложения росси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ских экспортеров на внешних рынках. При этом результаты программы направлены на расширение доступа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внешнеэкономической деятельности к финансовым механизмам поддержки (страховым, гаранти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ным, кредитным).</w:t>
            </w:r>
          </w:p>
          <w:p w:rsidR="00E91991" w:rsidRPr="00211754" w:rsidRDefault="00E91991" w:rsidP="0098444D">
            <w:pPr>
              <w:pStyle w:val="a3"/>
              <w:spacing w:before="240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Реализован комплекс мер нефинансовой поддержки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экспорта.</w:t>
            </w:r>
          </w:p>
          <w:p w:rsidR="00E91991" w:rsidRPr="00211754" w:rsidRDefault="00E91991" w:rsidP="00263A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Данный комплекс мер направлен на внедрение эффективной модели, обеспечивающей предоставление широкого спектра востребованных рынком услуг нефинансовой поддержки и продвижения организаций Чувашской Ре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публики на внешние рынки, а также на формирование качественной экспортной среды в партнерстве с отрасл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выми, некоммерческими и деловыми ассоциациями, что будет способствовать росту количества экспортеров, и, как следствие, увеличению объемов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экспорта.</w:t>
            </w:r>
            <w:proofErr w:type="gramEnd"/>
          </w:p>
          <w:p w:rsidR="00E91991" w:rsidRPr="00211754" w:rsidRDefault="00E91991" w:rsidP="0098444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Результаты программы в рамках данного блока направлены на стимулирование спроса на продукцию на зар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бежных рынках, в том числе за счет компенсации части затрат экспортеров на продвижение высокотехнологи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ной и инновационной продукции, иной продукции и услуг на внешние рынки, повышение осведомленности з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рубежных потребителей о ее потребительских свойствах и характеристиках, что в свою очередь приведет к ув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личению объема и диверсификации географии экспорта.</w:t>
            </w:r>
            <w:proofErr w:type="gramEnd"/>
          </w:p>
          <w:p w:rsidR="00E91991" w:rsidRPr="00211754" w:rsidRDefault="00E91991" w:rsidP="0098444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2. Создание точки присутствия АО «Российский экспортный центр» в Чувашской Республике. 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Данный комплекс мер направлен на создание точки присутствия АО «Российский экспортный центр» в Чува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ской Республике, что позволит закрепить среднесрочные цели, задачи, планы, формы и механизмы поддержки участников внешнеэкономической деятельности со стороны группы АО «Российский экспортный центр» (АО «Российский экспортный центр», АО «Российское агентство по страхованию экспортных кредитов и инв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стиций», АО «РОСЭКСИМБАНК»).</w:t>
            </w:r>
            <w:proofErr w:type="gramEnd"/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91" w:rsidRPr="00211754" w:rsidRDefault="00E91991" w:rsidP="00017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3. Обеспечение комплекса мероприятий по содействию развития предпринимательской инициативы и вовлеч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нию предпринимателей в экспортную деятельность.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Данный комплекс мер предусматривает проведение разъяснительной работы путем информирования компаний о возможностях роста (в том числе о формах и механизмах государственной поддержки), информационно-консультационную поддержку потенциальных экспортеров, развитие компетенций в области экспортной де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тельности через создание специальных учебных программ.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Это позволит увеличить количество компаний, готовых поставлять продукцию на внешние рынки, что будет способствовать увеличению объема экспорта продукции.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91" w:rsidRPr="00211754" w:rsidRDefault="00E91991" w:rsidP="00017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4. Снижение издержек экспортеров за счет оптимизации административных процедур.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Данный комплекс мер направлен на поступательное снятие административных и регуляторных барьеров для ра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вития экспорта в сфере таможенного администрирования, иных видов государственного контроля.  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результате осуществления мероприятий по оптимизации административных процедур срок выполнения всех процедур, необходимых для осуществления экспортной поставки, а также средства, затрачиваемые на их пр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хождение, будут сведены до минимума. Данная работа обеспечит достижение следующих показателей програ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мы: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документов, требуемых для пропуска товара через границу; </w:t>
            </w:r>
          </w:p>
          <w:p w:rsidR="00E91991" w:rsidRPr="00211754" w:rsidRDefault="00E91991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- срок прохождения таможенных операций и таможенных процедур для товаров, которые не идентифицированы как рисковые товары, требующие дополнительной проверки.</w:t>
            </w:r>
          </w:p>
          <w:p w:rsidR="00E91991" w:rsidRPr="00211754" w:rsidRDefault="00E91991" w:rsidP="00DF0BF4">
            <w:pPr>
              <w:tabs>
                <w:tab w:val="left" w:pos="49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91991" w:rsidRPr="00211754" w:rsidRDefault="00E91991" w:rsidP="00070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Достижение перечисленных показателей программы позволит сформировать комплексную инфраструктуру ф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нансовой и нефинансовой поддержки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 на всех этапах осуществления экспортной поставки и обеспечит эффективное решение поставленных целей по содействию развитию российской экономики через расширение поддержки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 и создание благоприятной среды для роста количества экспорт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ров.</w:t>
            </w:r>
          </w:p>
        </w:tc>
      </w:tr>
    </w:tbl>
    <w:p w:rsidR="00637F49" w:rsidRPr="00211754" w:rsidRDefault="00A5000B" w:rsidP="00577D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754">
        <w:rPr>
          <w:rFonts w:ascii="Times New Roman" w:hAnsi="Times New Roman" w:cs="Times New Roman"/>
          <w:sz w:val="26"/>
          <w:szCs w:val="26"/>
          <w:vertAlign w:val="superscript"/>
        </w:rPr>
        <w:lastRenderedPageBreak/>
        <w:t>*</w:t>
      </w:r>
      <w:r w:rsidRPr="00211754">
        <w:rPr>
          <w:rFonts w:ascii="Times New Roman" w:hAnsi="Times New Roman" w:cs="Times New Roman"/>
          <w:sz w:val="26"/>
          <w:szCs w:val="26"/>
        </w:rPr>
        <w:t xml:space="preserve"> </w:t>
      </w:r>
      <w:r w:rsidRPr="00211754">
        <w:rPr>
          <w:rFonts w:ascii="Times New Roman" w:hAnsi="Times New Roman" w:cs="Times New Roman"/>
          <w:sz w:val="20"/>
          <w:szCs w:val="20"/>
        </w:rPr>
        <w:t>базовое значение показателя на отчетную дату (2016 г.)</w:t>
      </w:r>
      <w:r w:rsidR="00637F49" w:rsidRPr="00211754">
        <w:rPr>
          <w:rFonts w:ascii="Times New Roman" w:hAnsi="Times New Roman" w:cs="Times New Roman"/>
          <w:sz w:val="20"/>
          <w:szCs w:val="20"/>
        </w:rPr>
        <w:br w:type="page"/>
      </w:r>
    </w:p>
    <w:p w:rsidR="00E47EED" w:rsidRPr="00211754" w:rsidRDefault="00E47EED" w:rsidP="00006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lastRenderedPageBreak/>
        <w:t>Этапы и контрольные точки</w:t>
      </w:r>
    </w:p>
    <w:p w:rsidR="00E21DDA" w:rsidRPr="00211754" w:rsidRDefault="00E21DDA" w:rsidP="00E21DD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080"/>
        <w:gridCol w:w="3260"/>
        <w:gridCol w:w="2487"/>
      </w:tblGrid>
      <w:tr w:rsidR="00E47EED" w:rsidRPr="00211754" w:rsidTr="00AB3095">
        <w:tc>
          <w:tcPr>
            <w:tcW w:w="959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080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Тип (завершение эт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па/контрольная точка 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зультата/контрольная то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ка показателя)</w:t>
            </w:r>
          </w:p>
        </w:tc>
        <w:tc>
          <w:tcPr>
            <w:tcW w:w="2487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E47EED" w:rsidRPr="00211754" w:rsidTr="00AB3095">
        <w:tc>
          <w:tcPr>
            <w:tcW w:w="959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</w:tcPr>
          <w:p w:rsidR="00E47EED" w:rsidRPr="00211754" w:rsidRDefault="00E47EED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паспорт </w:t>
            </w:r>
            <w:r w:rsidR="004F0E56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D4507D" w:rsidRPr="00211754" w:rsidRDefault="00D4507D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</w:tc>
        <w:tc>
          <w:tcPr>
            <w:tcW w:w="2487" w:type="dxa"/>
          </w:tcPr>
          <w:p w:rsidR="00E47EED" w:rsidRPr="00211754" w:rsidRDefault="005E1A58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44947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0B91" w:rsidRPr="00211754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E47EED" w:rsidRPr="002117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D482A" w:rsidRPr="002117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47EED" w:rsidRPr="00211754" w:rsidTr="00AB3095">
        <w:tc>
          <w:tcPr>
            <w:tcW w:w="959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E47EED" w:rsidRPr="00211754" w:rsidRDefault="00E47EED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032464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сводный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план </w:t>
            </w:r>
            <w:r w:rsidR="004F0E56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D4507D" w:rsidRPr="00211754" w:rsidRDefault="00D4507D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47EED" w:rsidRPr="00211754" w:rsidRDefault="00E47EED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</w:tc>
        <w:tc>
          <w:tcPr>
            <w:tcW w:w="2487" w:type="dxa"/>
          </w:tcPr>
          <w:p w:rsidR="00E47EED" w:rsidRPr="00211754" w:rsidRDefault="008222FC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444947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E21F3" w:rsidRPr="0021175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610B91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52638"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F471B0" w:rsidRPr="00211754" w:rsidTr="00AB3095">
        <w:tc>
          <w:tcPr>
            <w:tcW w:w="959" w:type="dxa"/>
          </w:tcPr>
          <w:p w:rsidR="00F471B0" w:rsidRPr="00211754" w:rsidRDefault="00E8223E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F471B0" w:rsidRPr="00211754" w:rsidRDefault="00F471B0" w:rsidP="00006A7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>Доведение до потенциальных потребителей (в том числе с размещ</w:t>
            </w:r>
            <w:r w:rsidRPr="00211754">
              <w:rPr>
                <w:color w:val="auto"/>
                <w:sz w:val="26"/>
                <w:szCs w:val="26"/>
              </w:rPr>
              <w:t>е</w:t>
            </w:r>
            <w:r w:rsidRPr="00211754">
              <w:rPr>
                <w:color w:val="auto"/>
                <w:sz w:val="26"/>
                <w:szCs w:val="26"/>
              </w:rPr>
              <w:t xml:space="preserve">нием в </w:t>
            </w:r>
            <w:r w:rsidR="00610B91" w:rsidRPr="00211754">
              <w:rPr>
                <w:color w:val="auto"/>
                <w:sz w:val="26"/>
                <w:szCs w:val="26"/>
              </w:rPr>
              <w:t xml:space="preserve">информационно-телекоммуникационной </w:t>
            </w:r>
            <w:r w:rsidRPr="00211754">
              <w:rPr>
                <w:color w:val="auto"/>
                <w:sz w:val="26"/>
                <w:szCs w:val="26"/>
              </w:rPr>
              <w:t>сети «Интернет») разработанны</w:t>
            </w:r>
            <w:r w:rsidR="00610B91" w:rsidRPr="00211754">
              <w:rPr>
                <w:color w:val="auto"/>
                <w:sz w:val="26"/>
                <w:szCs w:val="26"/>
              </w:rPr>
              <w:t>х</w:t>
            </w:r>
            <w:r w:rsidRPr="00211754">
              <w:rPr>
                <w:color w:val="auto"/>
                <w:sz w:val="26"/>
                <w:szCs w:val="26"/>
              </w:rPr>
              <w:t xml:space="preserve"> федеральными органами исполнительной власти тр</w:t>
            </w:r>
            <w:r w:rsidRPr="00211754">
              <w:rPr>
                <w:color w:val="auto"/>
                <w:sz w:val="26"/>
                <w:szCs w:val="26"/>
              </w:rPr>
              <w:t>е</w:t>
            </w:r>
            <w:r w:rsidRPr="00211754">
              <w:rPr>
                <w:color w:val="auto"/>
                <w:sz w:val="26"/>
                <w:szCs w:val="26"/>
              </w:rPr>
              <w:t>бова</w:t>
            </w:r>
            <w:r w:rsidR="00610B91" w:rsidRPr="00211754">
              <w:rPr>
                <w:color w:val="auto"/>
                <w:sz w:val="26"/>
                <w:szCs w:val="26"/>
              </w:rPr>
              <w:t>ний</w:t>
            </w:r>
            <w:r w:rsidRPr="00211754">
              <w:rPr>
                <w:color w:val="auto"/>
                <w:sz w:val="26"/>
                <w:szCs w:val="26"/>
              </w:rPr>
              <w:t xml:space="preserve"> в рамках комплекса мер финансовой поддержки, в том чис</w:t>
            </w:r>
            <w:r w:rsidR="00964116" w:rsidRPr="00211754">
              <w:rPr>
                <w:color w:val="auto"/>
                <w:sz w:val="26"/>
                <w:szCs w:val="26"/>
              </w:rPr>
              <w:t>ле:</w:t>
            </w:r>
          </w:p>
          <w:p w:rsidR="00F471B0" w:rsidRPr="00211754" w:rsidRDefault="00F471B0" w:rsidP="00006A7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>- по субсидированию процентной ставки по экспорт</w:t>
            </w:r>
            <w:r w:rsidR="00964116" w:rsidRPr="00211754">
              <w:rPr>
                <w:color w:val="auto"/>
                <w:sz w:val="26"/>
                <w:szCs w:val="26"/>
              </w:rPr>
              <w:t>ным кредитам;</w:t>
            </w:r>
          </w:p>
          <w:p w:rsidR="00F471B0" w:rsidRPr="00211754" w:rsidRDefault="00054192" w:rsidP="00006A7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 xml:space="preserve">- по </w:t>
            </w:r>
            <w:r w:rsidR="00F471B0" w:rsidRPr="00211754">
              <w:rPr>
                <w:color w:val="auto"/>
                <w:sz w:val="26"/>
                <w:szCs w:val="26"/>
              </w:rPr>
              <w:t>компенсации части затрат на транспортировку экспортируемой продукции, сертификацию продукции на внешних рынках и экспор</w:t>
            </w:r>
            <w:r w:rsidR="00F471B0" w:rsidRPr="00211754">
              <w:rPr>
                <w:color w:val="auto"/>
                <w:sz w:val="26"/>
                <w:szCs w:val="26"/>
              </w:rPr>
              <w:t>т</w:t>
            </w:r>
            <w:r w:rsidR="00F471B0" w:rsidRPr="00211754">
              <w:rPr>
                <w:color w:val="auto"/>
                <w:sz w:val="26"/>
                <w:szCs w:val="26"/>
              </w:rPr>
              <w:t>ные НИОКР, включающие комплекс работ (мероприятий) по мод</w:t>
            </w:r>
            <w:r w:rsidR="00F471B0" w:rsidRPr="00211754">
              <w:rPr>
                <w:color w:val="auto"/>
                <w:sz w:val="26"/>
                <w:szCs w:val="26"/>
              </w:rPr>
              <w:t>и</w:t>
            </w:r>
            <w:r w:rsidR="00F471B0" w:rsidRPr="00211754">
              <w:rPr>
                <w:color w:val="auto"/>
                <w:sz w:val="26"/>
                <w:szCs w:val="26"/>
              </w:rPr>
              <w:t>фикации продукции с целью обеспечения соответствия требованиям внешних рынков (</w:t>
            </w:r>
            <w:proofErr w:type="spellStart"/>
            <w:r w:rsidR="00F471B0" w:rsidRPr="00211754">
              <w:rPr>
                <w:color w:val="auto"/>
                <w:sz w:val="26"/>
                <w:szCs w:val="26"/>
              </w:rPr>
              <w:t>омологация</w:t>
            </w:r>
            <w:proofErr w:type="spellEnd"/>
            <w:r w:rsidR="00F471B0" w:rsidRPr="00211754">
              <w:rPr>
                <w:color w:val="auto"/>
                <w:sz w:val="26"/>
                <w:szCs w:val="26"/>
              </w:rPr>
              <w:t>), разработке и проектированию неп</w:t>
            </w:r>
            <w:r w:rsidR="00F471B0" w:rsidRPr="00211754">
              <w:rPr>
                <w:color w:val="auto"/>
                <w:sz w:val="26"/>
                <w:szCs w:val="26"/>
              </w:rPr>
              <w:t>о</w:t>
            </w:r>
            <w:r w:rsidR="00F471B0" w:rsidRPr="00211754">
              <w:rPr>
                <w:color w:val="auto"/>
                <w:sz w:val="26"/>
                <w:szCs w:val="26"/>
              </w:rPr>
              <w:t>средственно новой экспортной продук</w:t>
            </w:r>
            <w:r w:rsidR="00964116" w:rsidRPr="00211754">
              <w:rPr>
                <w:color w:val="auto"/>
                <w:sz w:val="26"/>
                <w:szCs w:val="26"/>
              </w:rPr>
              <w:t>ции;</w:t>
            </w:r>
          </w:p>
          <w:p w:rsidR="00F471B0" w:rsidRPr="00211754" w:rsidRDefault="00F471B0" w:rsidP="00006A7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 xml:space="preserve">- </w:t>
            </w:r>
            <w:r w:rsidR="00054192" w:rsidRPr="00211754">
              <w:rPr>
                <w:color w:val="auto"/>
                <w:sz w:val="26"/>
                <w:szCs w:val="26"/>
              </w:rPr>
              <w:t>по</w:t>
            </w:r>
            <w:r w:rsidRPr="00211754">
              <w:rPr>
                <w:color w:val="auto"/>
                <w:sz w:val="26"/>
                <w:szCs w:val="26"/>
              </w:rPr>
              <w:t xml:space="preserve"> субсидировани</w:t>
            </w:r>
            <w:r w:rsidR="00054192" w:rsidRPr="00211754">
              <w:rPr>
                <w:color w:val="auto"/>
                <w:sz w:val="26"/>
                <w:szCs w:val="26"/>
              </w:rPr>
              <w:t>ю</w:t>
            </w:r>
            <w:r w:rsidRPr="00211754">
              <w:rPr>
                <w:color w:val="auto"/>
                <w:sz w:val="26"/>
                <w:szCs w:val="26"/>
              </w:rPr>
              <w:t xml:space="preserve"> создания систем послепродажного обслужив</w:t>
            </w:r>
            <w:r w:rsidRPr="00211754">
              <w:rPr>
                <w:color w:val="auto"/>
                <w:sz w:val="26"/>
                <w:szCs w:val="26"/>
              </w:rPr>
              <w:t>а</w:t>
            </w:r>
            <w:r w:rsidRPr="00211754">
              <w:rPr>
                <w:color w:val="auto"/>
                <w:sz w:val="26"/>
                <w:szCs w:val="26"/>
              </w:rPr>
              <w:t>ния продукции</w:t>
            </w:r>
            <w:r w:rsidR="00964116" w:rsidRPr="00211754">
              <w:rPr>
                <w:color w:val="auto"/>
                <w:sz w:val="26"/>
                <w:szCs w:val="26"/>
              </w:rPr>
              <w:t>;</w:t>
            </w:r>
          </w:p>
          <w:p w:rsidR="00F471B0" w:rsidRPr="00211754" w:rsidRDefault="00F471B0" w:rsidP="00006A7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 xml:space="preserve">- </w:t>
            </w:r>
            <w:r w:rsidR="00054192" w:rsidRPr="00211754">
              <w:rPr>
                <w:color w:val="auto"/>
                <w:sz w:val="26"/>
                <w:szCs w:val="26"/>
              </w:rPr>
              <w:t>по</w:t>
            </w:r>
            <w:r w:rsidRPr="00211754">
              <w:rPr>
                <w:color w:val="auto"/>
                <w:sz w:val="26"/>
                <w:szCs w:val="26"/>
              </w:rPr>
              <w:t xml:space="preserve"> компенсации части затрат на регистрацию на внешних рынках объектов интеллектуальной собственности</w:t>
            </w:r>
            <w:r w:rsidR="00964116" w:rsidRPr="00211754">
              <w:rPr>
                <w:color w:val="auto"/>
                <w:sz w:val="26"/>
                <w:szCs w:val="26"/>
              </w:rPr>
              <w:t>;</w:t>
            </w:r>
          </w:p>
          <w:p w:rsidR="00F471B0" w:rsidRPr="00211754" w:rsidRDefault="00F471B0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54192" w:rsidRPr="0021175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компенсации части затрат на выставоч</w:t>
            </w:r>
            <w:r w:rsidR="00964116" w:rsidRPr="00211754">
              <w:rPr>
                <w:rFonts w:ascii="Times New Roman" w:hAnsi="Times New Roman" w:cs="Times New Roman"/>
                <w:sz w:val="26"/>
                <w:szCs w:val="26"/>
              </w:rPr>
              <w:t>но-ярмарочную деятел</w:t>
            </w:r>
            <w:r w:rsidR="00964116" w:rsidRPr="0021175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964116" w:rsidRPr="00211754">
              <w:rPr>
                <w:rFonts w:ascii="Times New Roman" w:hAnsi="Times New Roman" w:cs="Times New Roman"/>
                <w:sz w:val="26"/>
                <w:szCs w:val="26"/>
              </w:rPr>
              <w:t>ность.</w:t>
            </w:r>
          </w:p>
          <w:p w:rsidR="00054192" w:rsidRPr="00211754" w:rsidRDefault="00054192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0B91" w:rsidRPr="00211754" w:rsidRDefault="00F471B0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  <w:r w:rsidR="00610B91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71B0" w:rsidRPr="00211754" w:rsidRDefault="00610B91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F471B0" w:rsidRPr="00211754" w:rsidRDefault="00F471B0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610B91" w:rsidRPr="00211754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054192" w:rsidRPr="00211754" w:rsidTr="00AB3095">
        <w:tc>
          <w:tcPr>
            <w:tcW w:w="959" w:type="dxa"/>
          </w:tcPr>
          <w:p w:rsidR="00054192" w:rsidRPr="00211754" w:rsidRDefault="00E8223E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080" w:type="dxa"/>
          </w:tcPr>
          <w:p w:rsidR="00C03C3C" w:rsidRPr="00211754" w:rsidRDefault="00054192" w:rsidP="001633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 xml:space="preserve">Подготовлена заявка </w:t>
            </w:r>
            <w:r w:rsidR="00610B91" w:rsidRPr="00211754">
              <w:rPr>
                <w:color w:val="auto"/>
                <w:sz w:val="26"/>
                <w:szCs w:val="26"/>
              </w:rPr>
              <w:t>на</w:t>
            </w:r>
            <w:r w:rsidRPr="00211754">
              <w:rPr>
                <w:color w:val="auto"/>
                <w:sz w:val="26"/>
                <w:szCs w:val="26"/>
              </w:rPr>
              <w:t xml:space="preserve"> компенсаци</w:t>
            </w:r>
            <w:r w:rsidR="00610B91" w:rsidRPr="00211754">
              <w:rPr>
                <w:color w:val="auto"/>
                <w:sz w:val="26"/>
                <w:szCs w:val="26"/>
              </w:rPr>
              <w:t>ю</w:t>
            </w:r>
            <w:r w:rsidRPr="00211754">
              <w:rPr>
                <w:color w:val="auto"/>
                <w:sz w:val="26"/>
                <w:szCs w:val="26"/>
              </w:rPr>
              <w:t xml:space="preserve"> затрат в 2018 году на покрытие расходов, предусмотренн</w:t>
            </w:r>
            <w:r w:rsidR="00070F6A" w:rsidRPr="00211754">
              <w:rPr>
                <w:color w:val="auto"/>
                <w:sz w:val="26"/>
                <w:szCs w:val="26"/>
              </w:rPr>
              <w:t>ую</w:t>
            </w:r>
            <w:r w:rsidRPr="00211754">
              <w:rPr>
                <w:color w:val="auto"/>
                <w:sz w:val="26"/>
                <w:szCs w:val="26"/>
              </w:rPr>
              <w:t xml:space="preserve"> приоритетными проектами </w:t>
            </w:r>
            <w:r w:rsidR="00610B91" w:rsidRPr="00211754">
              <w:rPr>
                <w:color w:val="auto"/>
                <w:sz w:val="26"/>
                <w:szCs w:val="26"/>
              </w:rPr>
              <w:t xml:space="preserve">Российской </w:t>
            </w:r>
            <w:r w:rsidR="00444947" w:rsidRPr="00211754">
              <w:rPr>
                <w:color w:val="auto"/>
                <w:sz w:val="26"/>
                <w:szCs w:val="26"/>
              </w:rPr>
              <w:t>Ф</w:t>
            </w:r>
            <w:r w:rsidR="00610B91" w:rsidRPr="00211754">
              <w:rPr>
                <w:color w:val="auto"/>
                <w:sz w:val="26"/>
                <w:szCs w:val="26"/>
              </w:rPr>
              <w:t xml:space="preserve">едерации </w:t>
            </w:r>
            <w:r w:rsidRPr="00211754">
              <w:rPr>
                <w:color w:val="auto"/>
                <w:sz w:val="26"/>
                <w:szCs w:val="26"/>
              </w:rPr>
              <w:t>«Системные меры развития международной кооперации и экспорта» и «Международная кооперация и экспорт в промышлен</w:t>
            </w:r>
            <w:r w:rsidRPr="00211754">
              <w:rPr>
                <w:color w:val="auto"/>
                <w:sz w:val="26"/>
                <w:szCs w:val="26"/>
              </w:rPr>
              <w:t>о</w:t>
            </w:r>
            <w:r w:rsidRPr="00211754">
              <w:rPr>
                <w:color w:val="auto"/>
                <w:sz w:val="26"/>
                <w:szCs w:val="26"/>
              </w:rPr>
              <w:lastRenderedPageBreak/>
              <w:t>сти</w:t>
            </w:r>
            <w:r w:rsidR="00C03C3C" w:rsidRPr="00211754">
              <w:rPr>
                <w:color w:val="auto"/>
                <w:sz w:val="26"/>
                <w:szCs w:val="26"/>
              </w:rPr>
              <w:t>»</w:t>
            </w:r>
            <w:r w:rsidR="001633B4" w:rsidRPr="00211754">
              <w:rPr>
                <w:color w:val="auto"/>
                <w:sz w:val="26"/>
                <w:szCs w:val="26"/>
              </w:rPr>
              <w:t>.</w:t>
            </w:r>
          </w:p>
          <w:p w:rsidR="001633B4" w:rsidRPr="00211754" w:rsidRDefault="001633B4" w:rsidP="00070F6A">
            <w:pPr>
              <w:pStyle w:val="Default"/>
              <w:spacing w:line="21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0B91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Контрольная точка </w:t>
            </w:r>
          </w:p>
          <w:p w:rsidR="00054192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054192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4192" w:rsidRPr="00211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="00054192"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682149" w:rsidRPr="00211754" w:rsidTr="00AB3095">
        <w:tc>
          <w:tcPr>
            <w:tcW w:w="959" w:type="dxa"/>
          </w:tcPr>
          <w:p w:rsidR="00682149" w:rsidRPr="00211754" w:rsidRDefault="00E8223E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8080" w:type="dxa"/>
          </w:tcPr>
          <w:p w:rsidR="00682149" w:rsidRPr="00211754" w:rsidRDefault="00682149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Подготовлена заявка на создание региональной инфраструктуры АО</w:t>
            </w:r>
            <w:r w:rsidR="00F63457"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«Российский экспортный центр» в Чувашской Республике</w:t>
            </w:r>
          </w:p>
          <w:p w:rsidR="00682149" w:rsidRPr="00211754" w:rsidRDefault="00682149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0B91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682149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682149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2149" w:rsidRPr="00211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="00682149"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D4507D" w:rsidRPr="00211754" w:rsidTr="00AB3095">
        <w:tc>
          <w:tcPr>
            <w:tcW w:w="959" w:type="dxa"/>
          </w:tcPr>
          <w:p w:rsidR="00D4507D" w:rsidRPr="00211754" w:rsidRDefault="00C350C8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8223E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D4507D" w:rsidRPr="00211754" w:rsidRDefault="00D4507D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Уточнен объем бюджетных ассигнований на реализацию </w:t>
            </w:r>
            <w:r w:rsidRPr="002117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</w:t>
            </w:r>
            <w:r w:rsidR="00444947" w:rsidRPr="002117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граммы</w:t>
            </w:r>
          </w:p>
          <w:p w:rsidR="00D4507D" w:rsidRPr="00211754" w:rsidRDefault="00D4507D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0B91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D4507D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D4507D" w:rsidRPr="00211754" w:rsidRDefault="00610B91" w:rsidP="00581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471B0" w:rsidRPr="00211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81145" w:rsidRPr="0021175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D4507D"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D4507D" w:rsidRPr="00211754" w:rsidTr="00AB3095">
        <w:tc>
          <w:tcPr>
            <w:tcW w:w="959" w:type="dxa"/>
          </w:tcPr>
          <w:p w:rsidR="00D4507D" w:rsidRPr="00211754" w:rsidRDefault="00C350C8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8223E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D4507D" w:rsidRPr="00211754" w:rsidRDefault="00D4507D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оценка реализации </w:t>
            </w:r>
            <w:r w:rsidR="00444947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в 2017 году и в случае необходимости подготовлены корректировки паспорта </w:t>
            </w:r>
            <w:r w:rsidR="00444947" w:rsidRPr="002117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  <w:p w:rsidR="00C03C3C" w:rsidRPr="00211754" w:rsidRDefault="00C03C3C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0B91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D4507D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D4507D" w:rsidRPr="00211754" w:rsidRDefault="00D4507D" w:rsidP="00581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4192" w:rsidRPr="002117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81145" w:rsidRPr="00211754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471B0" w:rsidRPr="0021175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82149" w:rsidRPr="00211754" w:rsidTr="00AB3095">
        <w:tc>
          <w:tcPr>
            <w:tcW w:w="959" w:type="dxa"/>
          </w:tcPr>
          <w:p w:rsidR="00682149" w:rsidRPr="00211754" w:rsidRDefault="00C350C8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8223E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D4507D" w:rsidRPr="00211754" w:rsidRDefault="00682149" w:rsidP="005811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Внедрен </w:t>
            </w:r>
            <w:r w:rsidR="00D4507D" w:rsidRPr="00211754">
              <w:rPr>
                <w:rFonts w:ascii="Times New Roman" w:hAnsi="Times New Roman" w:cs="Times New Roman"/>
                <w:sz w:val="26"/>
                <w:szCs w:val="26"/>
              </w:rPr>
              <w:t>разработанн</w:t>
            </w:r>
            <w:r w:rsidR="00AA3DD8" w:rsidRPr="00211754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D4507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федеральными органами исполнительной власти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типово</w:t>
            </w:r>
            <w:r w:rsidR="00581145" w:rsidRPr="002117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продукт (экспортн</w:t>
            </w:r>
            <w:r w:rsidR="00581145" w:rsidRPr="00211754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стандарт) </w:t>
            </w:r>
          </w:p>
          <w:p w:rsidR="00581145" w:rsidRPr="00211754" w:rsidRDefault="00581145" w:rsidP="005811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0B91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682149" w:rsidRPr="00211754" w:rsidRDefault="00610B91" w:rsidP="00610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682149" w:rsidRPr="00211754" w:rsidRDefault="00682149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F4464" w:rsidRPr="00211754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D4507D" w:rsidRPr="00211754" w:rsidTr="00AB3095">
        <w:tc>
          <w:tcPr>
            <w:tcW w:w="959" w:type="dxa"/>
            <w:shd w:val="clear" w:color="auto" w:fill="auto"/>
          </w:tcPr>
          <w:p w:rsidR="00D4507D" w:rsidRPr="00211754" w:rsidRDefault="00C350C8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8223E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D4507D" w:rsidRPr="00211754" w:rsidRDefault="00D4507D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Создана региональная сеть поддержки экспорта, через которую ре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лизуются программы АО «Российский экспортный центр»</w:t>
            </w:r>
          </w:p>
          <w:p w:rsidR="00D4507D" w:rsidRPr="00211754" w:rsidRDefault="00D4507D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81145" w:rsidRPr="00211754" w:rsidRDefault="00581145" w:rsidP="00581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D4507D" w:rsidRPr="00211754" w:rsidRDefault="00581145" w:rsidP="00581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  <w:shd w:val="clear" w:color="auto" w:fill="auto"/>
          </w:tcPr>
          <w:p w:rsidR="00D4507D" w:rsidRPr="00211754" w:rsidRDefault="008F4464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</w:tr>
      <w:tr w:rsidR="00E21DDA" w:rsidRPr="00211754" w:rsidTr="00AB3095">
        <w:tc>
          <w:tcPr>
            <w:tcW w:w="959" w:type="dxa"/>
            <w:shd w:val="clear" w:color="auto" w:fill="auto"/>
          </w:tcPr>
          <w:p w:rsidR="00E21DDA" w:rsidRPr="00211754" w:rsidRDefault="00E21DDA" w:rsidP="00916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:rsidR="00E21DDA" w:rsidRPr="00211754" w:rsidRDefault="00E21DDA" w:rsidP="00E21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Реализованы совместно с АО «Российский экспортный центр» обр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зовательные программы для экспортеров</w:t>
            </w:r>
          </w:p>
          <w:p w:rsidR="00E21DDA" w:rsidRPr="00211754" w:rsidRDefault="00E21DDA" w:rsidP="00E21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  <w:shd w:val="clear" w:color="auto" w:fill="auto"/>
          </w:tcPr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</w:tr>
      <w:tr w:rsidR="00E21DDA" w:rsidRPr="00211754" w:rsidTr="00AB3095">
        <w:tc>
          <w:tcPr>
            <w:tcW w:w="959" w:type="dxa"/>
            <w:shd w:val="clear" w:color="auto" w:fill="auto"/>
          </w:tcPr>
          <w:p w:rsidR="00E21DDA" w:rsidRPr="00211754" w:rsidRDefault="00E21DDA" w:rsidP="00916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080" w:type="dxa"/>
            <w:shd w:val="clear" w:color="auto" w:fill="auto"/>
          </w:tcPr>
          <w:p w:rsidR="00E21DDA" w:rsidRPr="00211754" w:rsidRDefault="00E21DDA" w:rsidP="00070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годового отчета за 2017 год. </w:t>
            </w:r>
          </w:p>
        </w:tc>
        <w:tc>
          <w:tcPr>
            <w:tcW w:w="3260" w:type="dxa"/>
            <w:shd w:val="clear" w:color="auto" w:fill="auto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  <w:p w:rsidR="00E21DDA" w:rsidRPr="00211754" w:rsidRDefault="00E21DDA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shd w:val="clear" w:color="auto" w:fill="auto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01.02.2018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916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080" w:type="dxa"/>
          </w:tcPr>
          <w:p w:rsidR="00E21DDA" w:rsidRPr="00211754" w:rsidRDefault="00E21DDA" w:rsidP="00006A7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 xml:space="preserve">Внедрен стандарт качества и системы контроля реализации программ </w:t>
            </w:r>
            <w:r w:rsidRPr="00211754">
              <w:rPr>
                <w:sz w:val="26"/>
                <w:szCs w:val="26"/>
              </w:rPr>
              <w:t xml:space="preserve">АО «Российский экспортный центр» </w:t>
            </w:r>
            <w:r w:rsidRPr="00211754">
              <w:rPr>
                <w:color w:val="auto"/>
                <w:sz w:val="26"/>
                <w:szCs w:val="26"/>
              </w:rPr>
              <w:t xml:space="preserve">для точки присутствия </w:t>
            </w:r>
            <w:r w:rsidRPr="00211754">
              <w:rPr>
                <w:sz w:val="26"/>
                <w:szCs w:val="26"/>
              </w:rPr>
              <w:t>АО «Ро</w:t>
            </w:r>
            <w:r w:rsidRPr="00211754">
              <w:rPr>
                <w:sz w:val="26"/>
                <w:szCs w:val="26"/>
              </w:rPr>
              <w:t>с</w:t>
            </w:r>
            <w:r w:rsidRPr="00211754">
              <w:rPr>
                <w:sz w:val="26"/>
                <w:szCs w:val="26"/>
              </w:rPr>
              <w:t xml:space="preserve">сийский экспортный центр» </w:t>
            </w:r>
            <w:r w:rsidRPr="00211754">
              <w:rPr>
                <w:color w:val="auto"/>
                <w:sz w:val="26"/>
                <w:szCs w:val="26"/>
              </w:rPr>
              <w:t>в Чувашской Республике</w:t>
            </w:r>
          </w:p>
          <w:p w:rsidR="00E21DDA" w:rsidRPr="00211754" w:rsidRDefault="00E21DDA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01.04.2018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916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080" w:type="dxa"/>
          </w:tcPr>
          <w:p w:rsidR="00E21DDA" w:rsidRPr="00211754" w:rsidRDefault="00E21DDA" w:rsidP="00006A7E">
            <w:pPr>
              <w:pStyle w:val="Default"/>
              <w:jc w:val="both"/>
              <w:rPr>
                <w:sz w:val="26"/>
                <w:szCs w:val="26"/>
              </w:rPr>
            </w:pPr>
            <w:r w:rsidRPr="00211754">
              <w:rPr>
                <w:sz w:val="26"/>
                <w:szCs w:val="26"/>
              </w:rPr>
              <w:t>Подготовлена заявка на компенсацию затрат в 2019 году на покрытие расходов, предусмотренн</w:t>
            </w:r>
            <w:r w:rsidRPr="00211754">
              <w:rPr>
                <w:color w:val="auto"/>
                <w:sz w:val="26"/>
                <w:szCs w:val="26"/>
              </w:rPr>
              <w:t>ую</w:t>
            </w:r>
            <w:r w:rsidRPr="00211754">
              <w:rPr>
                <w:sz w:val="26"/>
                <w:szCs w:val="26"/>
              </w:rPr>
              <w:t xml:space="preserve"> приоритетными проектами Российской Федерации «Системные меры развития международной кооперации и экспорта» и «Международная кооперация и экспорт в промышлен</w:t>
            </w:r>
            <w:r w:rsidRPr="00211754">
              <w:rPr>
                <w:sz w:val="26"/>
                <w:szCs w:val="26"/>
              </w:rPr>
              <w:t>о</w:t>
            </w:r>
            <w:r w:rsidRPr="00211754">
              <w:rPr>
                <w:sz w:val="26"/>
                <w:szCs w:val="26"/>
              </w:rPr>
              <w:t>сти»</w:t>
            </w:r>
          </w:p>
          <w:p w:rsidR="00E21DDA" w:rsidRPr="00211754" w:rsidRDefault="00E21DDA" w:rsidP="00006A7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01.05.2018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916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080" w:type="dxa"/>
          </w:tcPr>
          <w:p w:rsidR="00E21DDA" w:rsidRPr="00211754" w:rsidRDefault="00E21DDA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Уточнен объем бюджетных ассигнований на реализацию</w:t>
            </w:r>
            <w:r w:rsidRPr="002117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программы</w:t>
            </w:r>
          </w:p>
          <w:p w:rsidR="00E21DDA" w:rsidRPr="00211754" w:rsidRDefault="00E21DDA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01.11.2018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304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оценка реализации программы в 2018 году и в случае необходимости подготовлены корректировки паспорта </w:t>
            </w:r>
            <w:r w:rsidRPr="002117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10.12.2018</w:t>
            </w:r>
          </w:p>
        </w:tc>
      </w:tr>
      <w:tr w:rsidR="00E21DDA" w:rsidRPr="00211754" w:rsidTr="007812C6">
        <w:tc>
          <w:tcPr>
            <w:tcW w:w="959" w:type="dxa"/>
            <w:shd w:val="clear" w:color="auto" w:fill="auto"/>
          </w:tcPr>
          <w:p w:rsidR="00E21DDA" w:rsidRPr="00211754" w:rsidRDefault="00E21DDA" w:rsidP="00304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080" w:type="dxa"/>
            <w:shd w:val="clear" w:color="auto" w:fill="auto"/>
          </w:tcPr>
          <w:p w:rsidR="00E21DDA" w:rsidRPr="00211754" w:rsidRDefault="00E21DDA" w:rsidP="00E21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Реализованы совместно с АО «Российский экспортный центр» обр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зовательные программы для экспортеров</w:t>
            </w:r>
          </w:p>
          <w:p w:rsidR="00E21DDA" w:rsidRPr="00211754" w:rsidRDefault="00E21DDA" w:rsidP="007812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  <w:shd w:val="clear" w:color="auto" w:fill="auto"/>
          </w:tcPr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31.12.2018</w:t>
            </w:r>
          </w:p>
        </w:tc>
      </w:tr>
      <w:tr w:rsidR="00E21DDA" w:rsidRPr="00211754" w:rsidTr="00AB3095">
        <w:trPr>
          <w:trHeight w:val="902"/>
        </w:trPr>
        <w:tc>
          <w:tcPr>
            <w:tcW w:w="959" w:type="dxa"/>
          </w:tcPr>
          <w:p w:rsidR="00E21DDA" w:rsidRPr="00211754" w:rsidRDefault="00E21DDA" w:rsidP="00093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Сокращено до 4 штук количество документов, требуемых для пропу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ка товара через границу</w:t>
            </w:r>
          </w:p>
        </w:tc>
        <w:tc>
          <w:tcPr>
            <w:tcW w:w="3260" w:type="dxa"/>
          </w:tcPr>
          <w:p w:rsidR="00E21DDA" w:rsidRPr="00211754" w:rsidRDefault="00E21DDA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  <w:p w:rsidR="00E21DDA" w:rsidRPr="00211754" w:rsidRDefault="00E21DDA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31.12.2018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093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754">
              <w:rPr>
                <w:sz w:val="26"/>
                <w:szCs w:val="26"/>
              </w:rPr>
              <w:t xml:space="preserve">Сокращен до 7 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дней срок подготовки документов, необходимых для прохождения всех процедур, связанных с перемещением товара через границу</w:t>
            </w:r>
          </w:p>
          <w:p w:rsidR="00E21DDA" w:rsidRPr="00211754" w:rsidRDefault="00E21DDA" w:rsidP="00F6345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9E2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  <w:p w:rsidR="00E21DDA" w:rsidRPr="00211754" w:rsidRDefault="00E21DDA" w:rsidP="009E2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2487" w:type="dxa"/>
          </w:tcPr>
          <w:p w:rsidR="00E21DDA" w:rsidRPr="00211754" w:rsidRDefault="00E21DDA" w:rsidP="009E2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31.12.2018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093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Сокращен до 2 часов срок прохождения таможенных операций и т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211754">
              <w:rPr>
                <w:rFonts w:eastAsiaTheme="minorHAnsi"/>
                <w:sz w:val="26"/>
                <w:szCs w:val="26"/>
                <w:lang w:eastAsia="en-US"/>
              </w:rPr>
              <w:t>моженных процедур для товаров, которые не идентифицированы как рисковые товары, требующие дополнительной проверки</w:t>
            </w:r>
          </w:p>
          <w:p w:rsidR="00E21DDA" w:rsidRPr="00211754" w:rsidRDefault="00E21DDA" w:rsidP="00F6345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9E2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  <w:p w:rsidR="00E21DDA" w:rsidRPr="00211754" w:rsidRDefault="00E21DDA" w:rsidP="009E2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2487" w:type="dxa"/>
          </w:tcPr>
          <w:p w:rsidR="00E21DDA" w:rsidRPr="00211754" w:rsidRDefault="00E21DDA" w:rsidP="009E2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31.12.2018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093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>Выдан запланированный в 2018 году объем бюджетных средств в рамках комплекса мер финансовой поддержки экспортно-ориентированных организаций</w:t>
            </w:r>
          </w:p>
          <w:p w:rsidR="00E21DDA" w:rsidRPr="00211754" w:rsidRDefault="00E21DDA" w:rsidP="00F634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31.12.2018</w:t>
            </w:r>
          </w:p>
        </w:tc>
      </w:tr>
      <w:tr w:rsidR="00E21DDA" w:rsidRPr="00211754" w:rsidTr="005D6E6F">
        <w:tc>
          <w:tcPr>
            <w:tcW w:w="959" w:type="dxa"/>
            <w:shd w:val="clear" w:color="auto" w:fill="auto"/>
          </w:tcPr>
          <w:p w:rsidR="00E21DDA" w:rsidRPr="00211754" w:rsidRDefault="00E21DDA" w:rsidP="00CA3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080" w:type="dxa"/>
            <w:shd w:val="clear" w:color="auto" w:fill="auto"/>
          </w:tcPr>
          <w:p w:rsidR="00E21DDA" w:rsidRPr="00211754" w:rsidRDefault="00E21DDA" w:rsidP="008F4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Подготовка годового отчета за 2018 год.</w:t>
            </w:r>
          </w:p>
        </w:tc>
        <w:tc>
          <w:tcPr>
            <w:tcW w:w="3260" w:type="dxa"/>
            <w:shd w:val="clear" w:color="auto" w:fill="auto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  <w:p w:rsidR="00E21DDA" w:rsidRPr="00211754" w:rsidRDefault="00E21DDA" w:rsidP="005D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shd w:val="clear" w:color="auto" w:fill="auto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01.02.2019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CA3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pStyle w:val="Default"/>
              <w:jc w:val="both"/>
              <w:rPr>
                <w:sz w:val="26"/>
                <w:szCs w:val="26"/>
              </w:rPr>
            </w:pPr>
            <w:r w:rsidRPr="00211754">
              <w:rPr>
                <w:sz w:val="26"/>
                <w:szCs w:val="26"/>
              </w:rPr>
              <w:t xml:space="preserve">Подготовлена заявка на компенсацию затрат в 2020 году на покрытие </w:t>
            </w:r>
            <w:r w:rsidRPr="00211754">
              <w:rPr>
                <w:color w:val="auto"/>
                <w:sz w:val="26"/>
                <w:szCs w:val="26"/>
              </w:rPr>
              <w:t>расходов,</w:t>
            </w:r>
            <w:r w:rsidRPr="00211754">
              <w:rPr>
                <w:sz w:val="26"/>
                <w:szCs w:val="26"/>
              </w:rPr>
              <w:t xml:space="preserve"> предусмотренн</w:t>
            </w:r>
            <w:r w:rsidRPr="00211754">
              <w:rPr>
                <w:color w:val="auto"/>
                <w:sz w:val="26"/>
                <w:szCs w:val="26"/>
              </w:rPr>
              <w:t>ую</w:t>
            </w:r>
            <w:r w:rsidRPr="00211754">
              <w:rPr>
                <w:sz w:val="26"/>
                <w:szCs w:val="26"/>
              </w:rPr>
              <w:t xml:space="preserve"> приоритетными проектами Российской Федерации «Системные меры развития международной кооперации и экспорта» и «Международная кооперация и экспорт в промышлен</w:t>
            </w:r>
            <w:r w:rsidRPr="00211754">
              <w:rPr>
                <w:sz w:val="26"/>
                <w:szCs w:val="26"/>
              </w:rPr>
              <w:t>о</w:t>
            </w:r>
            <w:r w:rsidRPr="00211754">
              <w:rPr>
                <w:sz w:val="26"/>
                <w:szCs w:val="26"/>
              </w:rPr>
              <w:t>сти»</w:t>
            </w:r>
          </w:p>
          <w:p w:rsidR="00E21DDA" w:rsidRPr="00211754" w:rsidRDefault="00E21DDA" w:rsidP="00F634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01.05.2019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D94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Уточнен объем бюджетных ассигнований на реализацию программы</w:t>
            </w:r>
          </w:p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01.11.2019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D94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Проведена оценка реализации программы в 2019 году и в случае необходимости подготовлены корректировки паспорта программы</w:t>
            </w:r>
          </w:p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10.12.2019</w:t>
            </w:r>
          </w:p>
        </w:tc>
      </w:tr>
      <w:tr w:rsidR="00E21DDA" w:rsidRPr="00211754" w:rsidTr="007812C6">
        <w:tc>
          <w:tcPr>
            <w:tcW w:w="959" w:type="dxa"/>
            <w:shd w:val="clear" w:color="auto" w:fill="auto"/>
          </w:tcPr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080" w:type="dxa"/>
            <w:shd w:val="clear" w:color="auto" w:fill="auto"/>
          </w:tcPr>
          <w:p w:rsidR="00E21DDA" w:rsidRPr="00211754" w:rsidRDefault="00E21DDA" w:rsidP="007812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Реализованы совместно с АО «Российский экспортный центр» обр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зовательные программы для экспортеров</w:t>
            </w:r>
          </w:p>
          <w:p w:rsidR="00E21DDA" w:rsidRPr="00211754" w:rsidRDefault="00E21DDA" w:rsidP="007812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  <w:shd w:val="clear" w:color="auto" w:fill="auto"/>
          </w:tcPr>
          <w:p w:rsidR="00E21DDA" w:rsidRPr="00211754" w:rsidRDefault="00E21DDA" w:rsidP="00E21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894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>Выдан запланированный в 2019 году объем средств в рамках ко</w:t>
            </w:r>
            <w:r w:rsidRPr="00211754">
              <w:rPr>
                <w:color w:val="auto"/>
                <w:sz w:val="26"/>
                <w:szCs w:val="26"/>
              </w:rPr>
              <w:t>м</w:t>
            </w:r>
            <w:r w:rsidRPr="00211754">
              <w:rPr>
                <w:color w:val="auto"/>
                <w:sz w:val="26"/>
                <w:szCs w:val="26"/>
              </w:rPr>
              <w:t>плекса мер финансовой поддержки экспортно-ориентированных о</w:t>
            </w:r>
            <w:r w:rsidRPr="00211754">
              <w:rPr>
                <w:color w:val="auto"/>
                <w:sz w:val="26"/>
                <w:szCs w:val="26"/>
              </w:rPr>
              <w:t>р</w:t>
            </w:r>
            <w:r w:rsidRPr="00211754">
              <w:rPr>
                <w:color w:val="auto"/>
                <w:sz w:val="26"/>
                <w:szCs w:val="26"/>
              </w:rPr>
              <w:t>ганизаций</w:t>
            </w:r>
          </w:p>
          <w:p w:rsidR="00E21DDA" w:rsidRPr="00211754" w:rsidRDefault="00E21DDA" w:rsidP="00F634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F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</w:tr>
      <w:tr w:rsidR="00E21DDA" w:rsidRPr="00211754" w:rsidTr="005D6E6F">
        <w:tc>
          <w:tcPr>
            <w:tcW w:w="959" w:type="dxa"/>
            <w:shd w:val="clear" w:color="auto" w:fill="auto"/>
          </w:tcPr>
          <w:p w:rsidR="00E21DDA" w:rsidRPr="00211754" w:rsidRDefault="00E21DDA" w:rsidP="00894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8080" w:type="dxa"/>
            <w:shd w:val="clear" w:color="auto" w:fill="auto"/>
          </w:tcPr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годового отчета за 2019 год </w:t>
            </w:r>
          </w:p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E21DDA" w:rsidRPr="00211754" w:rsidRDefault="00E21DDA" w:rsidP="005D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</w:tc>
        <w:tc>
          <w:tcPr>
            <w:tcW w:w="2487" w:type="dxa"/>
            <w:shd w:val="clear" w:color="auto" w:fill="auto"/>
          </w:tcPr>
          <w:p w:rsidR="00E21DDA" w:rsidRPr="00211754" w:rsidRDefault="00E21DDA" w:rsidP="00E1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01.02.2020</w:t>
            </w:r>
          </w:p>
        </w:tc>
      </w:tr>
      <w:tr w:rsidR="00E21DDA" w:rsidRPr="00211754" w:rsidTr="008D4184">
        <w:tc>
          <w:tcPr>
            <w:tcW w:w="959" w:type="dxa"/>
          </w:tcPr>
          <w:p w:rsidR="00E21DDA" w:rsidRPr="00211754" w:rsidRDefault="00E21DDA" w:rsidP="00894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8080" w:type="dxa"/>
          </w:tcPr>
          <w:p w:rsidR="00E21DDA" w:rsidRPr="00211754" w:rsidRDefault="00E21DDA" w:rsidP="008D41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Проведена оценка реализации программы в 2020 году и в случае необходимости подготовлены корректировки паспорта программы</w:t>
            </w:r>
          </w:p>
          <w:p w:rsidR="00E21DDA" w:rsidRPr="00211754" w:rsidRDefault="00E21DDA" w:rsidP="008D41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10.12.2020</w:t>
            </w:r>
          </w:p>
        </w:tc>
      </w:tr>
      <w:tr w:rsidR="00E21DDA" w:rsidRPr="00211754" w:rsidTr="007812C6">
        <w:tc>
          <w:tcPr>
            <w:tcW w:w="959" w:type="dxa"/>
            <w:shd w:val="clear" w:color="auto" w:fill="auto"/>
          </w:tcPr>
          <w:p w:rsidR="00E21DDA" w:rsidRPr="00211754" w:rsidRDefault="00E21DDA" w:rsidP="00894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8080" w:type="dxa"/>
            <w:shd w:val="clear" w:color="auto" w:fill="auto"/>
          </w:tcPr>
          <w:p w:rsidR="00E21DDA" w:rsidRPr="00211754" w:rsidRDefault="00E21DDA" w:rsidP="007812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Реализованы совместно с АО «Российский экспортный центр» обр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зовательные программы для экспортеров</w:t>
            </w:r>
          </w:p>
          <w:p w:rsidR="00E21DDA" w:rsidRPr="00211754" w:rsidRDefault="00E21DDA" w:rsidP="007812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78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  <w:shd w:val="clear" w:color="auto" w:fill="auto"/>
          </w:tcPr>
          <w:p w:rsidR="00E21DDA" w:rsidRPr="00211754" w:rsidRDefault="00E21DDA" w:rsidP="00E21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477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8080" w:type="dxa"/>
          </w:tcPr>
          <w:p w:rsidR="00E21DDA" w:rsidRPr="00211754" w:rsidRDefault="00E21DDA" w:rsidP="00E127DC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>Выдан запланированный в 2020 году объем бюджетных средств в рамках комплекса мер финансовой поддержки экспортно-ориентированных организаций</w:t>
            </w:r>
          </w:p>
          <w:p w:rsidR="00E21DDA" w:rsidRPr="00211754" w:rsidRDefault="00E21DDA" w:rsidP="00F634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E1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E1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E1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477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8080" w:type="dxa"/>
          </w:tcPr>
          <w:p w:rsidR="00E21DDA" w:rsidRPr="00211754" w:rsidRDefault="00E21DDA" w:rsidP="00C74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годового отчета за 2020 год </w:t>
            </w:r>
          </w:p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</w:tc>
        <w:tc>
          <w:tcPr>
            <w:tcW w:w="2487" w:type="dxa"/>
          </w:tcPr>
          <w:p w:rsidR="00E21DDA" w:rsidRPr="00211754" w:rsidRDefault="00E21DDA" w:rsidP="00E1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25.01.2021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C350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8080" w:type="dxa"/>
          </w:tcPr>
          <w:p w:rsidR="00E21DDA" w:rsidRPr="00211754" w:rsidRDefault="00E21DDA" w:rsidP="008D41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годового отчета за 2020 год </w:t>
            </w:r>
          </w:p>
          <w:p w:rsidR="00E21DDA" w:rsidRPr="00211754" w:rsidRDefault="00E21DDA" w:rsidP="008D41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</w:tc>
        <w:tc>
          <w:tcPr>
            <w:tcW w:w="2487" w:type="dxa"/>
          </w:tcPr>
          <w:p w:rsidR="00E21DDA" w:rsidRPr="00211754" w:rsidRDefault="00E21DDA" w:rsidP="00017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C350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8080" w:type="dxa"/>
          </w:tcPr>
          <w:p w:rsidR="00E21DDA" w:rsidRPr="00211754" w:rsidRDefault="00E21DDA" w:rsidP="008D418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11754">
              <w:rPr>
                <w:color w:val="auto"/>
                <w:sz w:val="26"/>
                <w:szCs w:val="26"/>
              </w:rPr>
              <w:t>Выдан запланированный в 2025 году объем бюджетных средств в рамках комплекса мер финансовой поддержки экспортно-ориентированных организаций</w:t>
            </w:r>
          </w:p>
          <w:p w:rsidR="00E21DDA" w:rsidRPr="00211754" w:rsidRDefault="00E21DDA" w:rsidP="008D418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2487" w:type="dxa"/>
          </w:tcPr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C350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8080" w:type="dxa"/>
          </w:tcPr>
          <w:p w:rsidR="00E21DDA" w:rsidRPr="00211754" w:rsidRDefault="00E21DDA" w:rsidP="008D41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годового отчета за 2025 год </w:t>
            </w:r>
          </w:p>
          <w:p w:rsidR="00E21DDA" w:rsidRPr="00211754" w:rsidRDefault="00E21DDA" w:rsidP="008D41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8D4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</w:tc>
        <w:tc>
          <w:tcPr>
            <w:tcW w:w="2487" w:type="dxa"/>
          </w:tcPr>
          <w:p w:rsidR="00E21DDA" w:rsidRPr="00211754" w:rsidRDefault="00E21DDA" w:rsidP="00017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20.01.2026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C350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</w:t>
            </w:r>
          </w:p>
        </w:tc>
        <w:tc>
          <w:tcPr>
            <w:tcW w:w="8080" w:type="dxa"/>
          </w:tcPr>
          <w:p w:rsidR="00E21DDA" w:rsidRPr="00211754" w:rsidRDefault="00E21DDA" w:rsidP="00C744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Подготовлен итоговый отчет о реализации программы</w:t>
            </w:r>
          </w:p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21DDA" w:rsidRPr="00211754" w:rsidRDefault="00E21DDA" w:rsidP="00C74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</w:t>
            </w:r>
          </w:p>
          <w:p w:rsidR="00E21DDA" w:rsidRPr="00211754" w:rsidRDefault="00E21DDA" w:rsidP="00C74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результата</w:t>
            </w:r>
          </w:p>
          <w:p w:rsidR="00E21DDA" w:rsidRPr="00211754" w:rsidRDefault="00E21DDA" w:rsidP="00C74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:rsidR="00E21DDA" w:rsidRPr="00211754" w:rsidRDefault="00E21DDA" w:rsidP="00C74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25.01.2026</w:t>
            </w:r>
          </w:p>
        </w:tc>
      </w:tr>
      <w:tr w:rsidR="00E21DDA" w:rsidRPr="00211754" w:rsidTr="00AB3095">
        <w:tc>
          <w:tcPr>
            <w:tcW w:w="959" w:type="dxa"/>
          </w:tcPr>
          <w:p w:rsidR="00E21DDA" w:rsidRPr="00211754" w:rsidRDefault="00E21DDA" w:rsidP="00C350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8080" w:type="dxa"/>
          </w:tcPr>
          <w:p w:rsidR="00E21DDA" w:rsidRPr="00211754" w:rsidRDefault="00E21DDA" w:rsidP="00F63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Приоритетная программа завершена. Итоговый отчет утвержден</w:t>
            </w:r>
          </w:p>
        </w:tc>
        <w:tc>
          <w:tcPr>
            <w:tcW w:w="3260" w:type="dxa"/>
          </w:tcPr>
          <w:p w:rsidR="00E21DDA" w:rsidRPr="00211754" w:rsidRDefault="00E21DDA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Завершение этапа</w:t>
            </w:r>
          </w:p>
        </w:tc>
        <w:tc>
          <w:tcPr>
            <w:tcW w:w="2487" w:type="dxa"/>
          </w:tcPr>
          <w:p w:rsidR="00E21DDA" w:rsidRPr="00211754" w:rsidRDefault="00E21DDA" w:rsidP="00C74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20.02.2026</w:t>
            </w:r>
          </w:p>
        </w:tc>
      </w:tr>
    </w:tbl>
    <w:p w:rsidR="0098444D" w:rsidRPr="00211754" w:rsidRDefault="0098444D" w:rsidP="009844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44D" w:rsidRPr="00211754" w:rsidRDefault="0098444D" w:rsidP="009844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599C" w:rsidRPr="00211754" w:rsidRDefault="008A599C" w:rsidP="00006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E127DC" w:rsidRPr="00211754">
        <w:rPr>
          <w:rFonts w:ascii="Times New Roman" w:hAnsi="Times New Roman" w:cs="Times New Roman"/>
          <w:sz w:val="26"/>
          <w:szCs w:val="26"/>
        </w:rPr>
        <w:t xml:space="preserve">приоритетной </w:t>
      </w:r>
      <w:r w:rsidR="004F0E56" w:rsidRPr="00211754">
        <w:rPr>
          <w:rFonts w:ascii="Times New Roman" w:hAnsi="Times New Roman" w:cs="Times New Roman"/>
          <w:sz w:val="26"/>
          <w:szCs w:val="26"/>
        </w:rPr>
        <w:t>программы</w:t>
      </w:r>
    </w:p>
    <w:p w:rsidR="00C9111A" w:rsidRPr="00211754" w:rsidRDefault="00C9111A" w:rsidP="00C9111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841"/>
        <w:gridCol w:w="1493"/>
        <w:gridCol w:w="1326"/>
        <w:gridCol w:w="1326"/>
        <w:gridCol w:w="1263"/>
        <w:gridCol w:w="1869"/>
      </w:tblGrid>
      <w:tr w:rsidR="00E127DC" w:rsidRPr="00211754" w:rsidTr="009E21F3">
        <w:tc>
          <w:tcPr>
            <w:tcW w:w="7509" w:type="dxa"/>
            <w:gridSpan w:val="2"/>
            <w:vMerge w:val="restart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408" w:type="dxa"/>
            <w:gridSpan w:val="4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  <w:tc>
          <w:tcPr>
            <w:tcW w:w="1869" w:type="dxa"/>
            <w:vMerge w:val="restart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127DC" w:rsidRPr="00211754" w:rsidTr="009E21F3">
        <w:tc>
          <w:tcPr>
            <w:tcW w:w="7509" w:type="dxa"/>
            <w:gridSpan w:val="2"/>
            <w:vMerge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26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26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63" w:type="dxa"/>
          </w:tcPr>
          <w:p w:rsidR="00E127DC" w:rsidRPr="00211754" w:rsidRDefault="00E127DC" w:rsidP="00C9111A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C9111A" w:rsidRPr="002117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E1A58" w:rsidRPr="0021175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69" w:type="dxa"/>
            <w:vMerge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7DC" w:rsidRPr="00211754" w:rsidTr="00C9111A">
        <w:tc>
          <w:tcPr>
            <w:tcW w:w="1668" w:type="dxa"/>
            <w:vMerge w:val="restart"/>
            <w:vAlign w:val="center"/>
          </w:tcPr>
          <w:p w:rsidR="00E127DC" w:rsidRPr="00211754" w:rsidRDefault="00E127DC" w:rsidP="00C911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источники, 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. рублей</w:t>
            </w:r>
          </w:p>
        </w:tc>
        <w:tc>
          <w:tcPr>
            <w:tcW w:w="5841" w:type="dxa"/>
          </w:tcPr>
          <w:p w:rsidR="00E127DC" w:rsidRPr="00211754" w:rsidRDefault="00E127DC" w:rsidP="00E127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  <w:p w:rsidR="00E21DDA" w:rsidRPr="00211754" w:rsidRDefault="00E21DDA" w:rsidP="00E127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326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6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63" w:type="dxa"/>
          </w:tcPr>
          <w:p w:rsidR="00E127DC" w:rsidRPr="00211754" w:rsidRDefault="005E1A58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E127DC" w:rsidRPr="0021175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69" w:type="dxa"/>
          </w:tcPr>
          <w:p w:rsidR="00E127DC" w:rsidRPr="00211754" w:rsidRDefault="004739D6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E127DC" w:rsidRPr="00211754" w:rsidTr="00E127DC">
        <w:tc>
          <w:tcPr>
            <w:tcW w:w="1668" w:type="dxa"/>
            <w:vMerge/>
          </w:tcPr>
          <w:p w:rsidR="00E127DC" w:rsidRPr="00211754" w:rsidRDefault="00E127DC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1" w:type="dxa"/>
          </w:tcPr>
          <w:p w:rsidR="00E127DC" w:rsidRPr="00211754" w:rsidRDefault="00E127DC" w:rsidP="00E127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Республики</w:t>
            </w:r>
          </w:p>
          <w:p w:rsidR="00E21DDA" w:rsidRPr="00211754" w:rsidRDefault="00E21DDA" w:rsidP="00E127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326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6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3" w:type="dxa"/>
          </w:tcPr>
          <w:p w:rsidR="00E127DC" w:rsidRPr="00211754" w:rsidRDefault="005E1A58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E127DC" w:rsidRPr="0021175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69" w:type="dxa"/>
          </w:tcPr>
          <w:p w:rsidR="00E127DC" w:rsidRPr="00211754" w:rsidRDefault="004739D6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E127DC" w:rsidRPr="00211754" w:rsidTr="00E127DC">
        <w:tc>
          <w:tcPr>
            <w:tcW w:w="1668" w:type="dxa"/>
            <w:vMerge/>
          </w:tcPr>
          <w:p w:rsidR="00E127DC" w:rsidRPr="00211754" w:rsidRDefault="00E127DC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1" w:type="dxa"/>
          </w:tcPr>
          <w:p w:rsidR="00E127DC" w:rsidRPr="00211754" w:rsidRDefault="00E127DC" w:rsidP="00E127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Местные бюджеты муниципальных районов и г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родских округов Чувашской Республики</w:t>
            </w:r>
          </w:p>
          <w:p w:rsidR="00E21DDA" w:rsidRPr="00211754" w:rsidRDefault="00E21DDA" w:rsidP="00E127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1326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1326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1263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1869" w:type="dxa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</w:tr>
      <w:tr w:rsidR="00E127DC" w:rsidRPr="00211754" w:rsidTr="009E21F3">
        <w:tc>
          <w:tcPr>
            <w:tcW w:w="7509" w:type="dxa"/>
            <w:gridSpan w:val="2"/>
          </w:tcPr>
          <w:p w:rsidR="00E127DC" w:rsidRPr="00211754" w:rsidRDefault="00E127DC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источники, 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. рублей</w:t>
            </w:r>
          </w:p>
          <w:p w:rsidR="00E127DC" w:rsidRPr="00211754" w:rsidRDefault="00E127DC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326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326" w:type="dxa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</w:tcPr>
          <w:p w:rsidR="00E127DC" w:rsidRPr="00211754" w:rsidRDefault="005E1A58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E127DC" w:rsidRPr="0021175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69" w:type="dxa"/>
          </w:tcPr>
          <w:p w:rsidR="00E127DC" w:rsidRPr="00211754" w:rsidRDefault="004739D6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E127DC" w:rsidRPr="00211754" w:rsidTr="009E21F3">
        <w:tc>
          <w:tcPr>
            <w:tcW w:w="7509" w:type="dxa"/>
            <w:gridSpan w:val="2"/>
          </w:tcPr>
          <w:p w:rsidR="00E127DC" w:rsidRPr="00211754" w:rsidRDefault="00E127DC" w:rsidP="0000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vAlign w:val="bottom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326" w:type="dxa"/>
            <w:vAlign w:val="bottom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326" w:type="dxa"/>
            <w:vAlign w:val="bottom"/>
          </w:tcPr>
          <w:p w:rsidR="00E127DC" w:rsidRPr="00211754" w:rsidRDefault="00E127DC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263" w:type="dxa"/>
            <w:vAlign w:val="bottom"/>
          </w:tcPr>
          <w:p w:rsidR="00E127DC" w:rsidRPr="00211754" w:rsidRDefault="005E1A58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  <w:r w:rsidR="00E127DC" w:rsidRPr="0021175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69" w:type="dxa"/>
            <w:vAlign w:val="bottom"/>
          </w:tcPr>
          <w:p w:rsidR="00E127DC" w:rsidRPr="00211754" w:rsidRDefault="004739D6" w:rsidP="00BD7D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  <w:r w:rsidR="00BD7DC6" w:rsidRPr="002117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63457" w:rsidRPr="00211754" w:rsidRDefault="00F63457" w:rsidP="0000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78C" w:rsidRPr="00211754" w:rsidRDefault="0070378C" w:rsidP="0000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081F" w:rsidRPr="00211754" w:rsidRDefault="00E125F1" w:rsidP="00006A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Ключевые риски и возможности</w:t>
      </w:r>
    </w:p>
    <w:p w:rsidR="00C9111A" w:rsidRPr="00211754" w:rsidRDefault="00C9111A" w:rsidP="00C9111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709"/>
        <w:gridCol w:w="4678"/>
        <w:gridCol w:w="9497"/>
      </w:tblGrid>
      <w:tr w:rsidR="00E125F1" w:rsidRPr="00211754" w:rsidTr="003E1890">
        <w:tc>
          <w:tcPr>
            <w:tcW w:w="709" w:type="dxa"/>
          </w:tcPr>
          <w:p w:rsidR="00E125F1" w:rsidRPr="00211754" w:rsidRDefault="00E125F1" w:rsidP="00006A7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E125F1" w:rsidRPr="00211754" w:rsidRDefault="00E125F1" w:rsidP="00006A7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Наименование риска/возможности</w:t>
            </w:r>
          </w:p>
        </w:tc>
        <w:tc>
          <w:tcPr>
            <w:tcW w:w="9497" w:type="dxa"/>
          </w:tcPr>
          <w:p w:rsidR="00E125F1" w:rsidRPr="00211754" w:rsidRDefault="00E125F1" w:rsidP="00006A7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риска / реализации возможности</w:t>
            </w:r>
          </w:p>
        </w:tc>
      </w:tr>
      <w:tr w:rsidR="00527578" w:rsidRPr="00211754" w:rsidTr="00D81F92">
        <w:tc>
          <w:tcPr>
            <w:tcW w:w="14884" w:type="dxa"/>
            <w:gridSpan w:val="3"/>
          </w:tcPr>
          <w:p w:rsidR="003E1890" w:rsidRPr="00211754" w:rsidRDefault="00D40BF0" w:rsidP="003E18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Ключевые р</w:t>
            </w:r>
            <w:r w:rsidR="00527578" w:rsidRPr="00211754">
              <w:rPr>
                <w:rFonts w:ascii="Times New Roman" w:hAnsi="Times New Roman" w:cs="Times New Roman"/>
                <w:sz w:val="26"/>
                <w:szCs w:val="26"/>
              </w:rPr>
              <w:t>иски</w:t>
            </w:r>
          </w:p>
        </w:tc>
      </w:tr>
      <w:tr w:rsidR="00F67466" w:rsidRPr="00211754" w:rsidTr="003E1890">
        <w:tc>
          <w:tcPr>
            <w:tcW w:w="709" w:type="dxa"/>
          </w:tcPr>
          <w:p w:rsidR="00F67466" w:rsidRPr="00211754" w:rsidRDefault="0052757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F67466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Риск не выделения или ограниченного выделения государственной финанс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вой поддержки экспорта по причине возникновения других приоритетов,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 может привести к невозможности реализации больше</w:t>
            </w:r>
            <w:r w:rsidR="00527578" w:rsidRPr="002117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части мер фина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совой и нефинансовой поддержки, предусмотренных данн</w:t>
            </w:r>
            <w:r w:rsidR="00D40BF0" w:rsidRPr="00211754">
              <w:rPr>
                <w:rFonts w:ascii="Times New Roman" w:hAnsi="Times New Roman" w:cs="Times New Roman"/>
                <w:sz w:val="26"/>
                <w:szCs w:val="26"/>
              </w:rPr>
              <w:t>ой программой.</w:t>
            </w:r>
          </w:p>
          <w:p w:rsidR="00282728" w:rsidRPr="00211754" w:rsidRDefault="0028272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F67466" w:rsidRPr="00211754" w:rsidRDefault="0052757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1) </w:t>
            </w:r>
            <w:r w:rsidR="00D40BF0" w:rsidRPr="00211754">
              <w:rPr>
                <w:rFonts w:ascii="Times New Roman" w:hAnsi="Times New Roman" w:cs="Times New Roman"/>
                <w:sz w:val="26"/>
                <w:szCs w:val="26"/>
              </w:rPr>
              <w:t>взаимодействие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с ответственными федеральными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и республиканскими 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ми исполнительной власти </w:t>
            </w:r>
            <w:r w:rsidR="00D40BF0" w:rsidRPr="00211754">
              <w:rPr>
                <w:rFonts w:ascii="Times New Roman" w:hAnsi="Times New Roman" w:cs="Times New Roman"/>
                <w:sz w:val="26"/>
                <w:szCs w:val="26"/>
              </w:rPr>
              <w:t>по вопросу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эффективности и актуализации госуда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>ственной политики поддержки экспор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та;</w:t>
            </w:r>
          </w:p>
          <w:p w:rsidR="00527578" w:rsidRPr="00211754" w:rsidRDefault="0052757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своевременно</w:t>
            </w:r>
            <w:r w:rsidR="00D40BF0"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запроса по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выделению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финансовых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поддер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 экс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порта;</w:t>
            </w:r>
          </w:p>
          <w:p w:rsidR="00F67466" w:rsidRPr="00211754" w:rsidRDefault="0052757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высокая эффективность использования бюджетных средств на поддержку эк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67466" w:rsidRPr="00211754">
              <w:rPr>
                <w:rFonts w:ascii="Times New Roman" w:hAnsi="Times New Roman" w:cs="Times New Roman"/>
                <w:sz w:val="26"/>
                <w:szCs w:val="26"/>
              </w:rPr>
              <w:t>пор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444947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7466" w:rsidRPr="00211754" w:rsidTr="003E1890">
        <w:tc>
          <w:tcPr>
            <w:tcW w:w="709" w:type="dxa"/>
          </w:tcPr>
          <w:p w:rsidR="00F67466" w:rsidRPr="00211754" w:rsidRDefault="0052757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678" w:type="dxa"/>
          </w:tcPr>
          <w:p w:rsidR="00F67466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Риск сохранения негативного возде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ствия политики санкций и ограничений в отношении России, </w:t>
            </w:r>
            <w:r w:rsidR="00E8427D" w:rsidRPr="00211754">
              <w:rPr>
                <w:rFonts w:ascii="Times New Roman" w:hAnsi="Times New Roman" w:cs="Times New Roman"/>
                <w:sz w:val="26"/>
                <w:szCs w:val="26"/>
              </w:rPr>
              <w:t>в том числе изм</w:t>
            </w:r>
            <w:r w:rsidR="00E8427D"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8427D" w:rsidRPr="00211754">
              <w:rPr>
                <w:rFonts w:ascii="Times New Roman" w:hAnsi="Times New Roman" w:cs="Times New Roman"/>
                <w:sz w:val="26"/>
                <w:szCs w:val="26"/>
              </w:rPr>
              <w:t>нения законодательства Российской Федерации как ответная мера на сан</w:t>
            </w:r>
            <w:r w:rsidR="00E8427D" w:rsidRPr="0021175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8427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ционную политику зарубежных стран,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что приводит к сокращению возможн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стей финансовой поддержки наци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нального экспорта вследствие роста стоимости привлечения капитала, а также ограничивает экспорт в ряд стран и ре</w:t>
            </w:r>
            <w:r w:rsidR="003E1890" w:rsidRPr="00211754">
              <w:rPr>
                <w:rFonts w:ascii="Times New Roman" w:hAnsi="Times New Roman" w:cs="Times New Roman"/>
                <w:sz w:val="26"/>
                <w:szCs w:val="26"/>
              </w:rPr>
              <w:t>гионов.</w:t>
            </w:r>
          </w:p>
          <w:p w:rsidR="00282728" w:rsidRPr="00211754" w:rsidRDefault="0028272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F67466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диверсификация направлений (стран) экспорта;</w:t>
            </w:r>
          </w:p>
          <w:p w:rsidR="00F67466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2) формирование новых р</w:t>
            </w:r>
            <w:r w:rsidR="00527578" w:rsidRPr="00211754">
              <w:rPr>
                <w:rFonts w:ascii="Times New Roman" w:hAnsi="Times New Roman" w:cs="Times New Roman"/>
                <w:sz w:val="26"/>
                <w:szCs w:val="26"/>
              </w:rPr>
              <w:t>ынков сбыта экспортных товаров;</w:t>
            </w:r>
          </w:p>
          <w:p w:rsidR="00F67466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3) формирование долгосрочных торгово-экономических согл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>ашений с зарубе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>ными странами;</w:t>
            </w:r>
          </w:p>
          <w:p w:rsidR="00F67466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4) повышение конкурентоспособности выпускаемой продукции</w:t>
            </w:r>
            <w:r w:rsidR="00444947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4011D" w:rsidRPr="00211754" w:rsidTr="003E1890">
        <w:tc>
          <w:tcPr>
            <w:tcW w:w="709" w:type="dxa"/>
          </w:tcPr>
          <w:p w:rsidR="0024011D" w:rsidRPr="00211754" w:rsidRDefault="00527578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F22CB4" w:rsidRPr="00211754" w:rsidRDefault="0024011D" w:rsidP="00F22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Риск недостаточной готовности эк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портеров к ведению бизнеса за руб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жом по причине низкого уровня 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формированности и отсутствия нео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ходимых компетенций в области ос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ществления экспортной деятельности, что может привести к сокращению п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тенциального количества компаний экспортеров промышленной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продукции и, соответственно, об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емов экспорт</w:t>
            </w:r>
            <w:r w:rsidR="00282728"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E1890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2CB4" w:rsidRPr="00211754" w:rsidRDefault="00F22CB4" w:rsidP="00F22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7C09C2" w:rsidRPr="00211754" w:rsidRDefault="007C09C2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1) и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спользование возможностей, предоставляемых в рамках формирования в Ро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сии национальной системы развития экспорта и реализации других проектов в ра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мках приоритетного направления «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Международная кооперация и экспорт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24011D" w:rsidRPr="00211754" w:rsidRDefault="007C09C2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2) р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еализация комплекса мер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оприятий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по стимулированию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экспортеров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промы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ленной </w:t>
            </w:r>
            <w:proofErr w:type="spellStart"/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несырьевой</w:t>
            </w:r>
            <w:proofErr w:type="spellEnd"/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1C7C" w:rsidRPr="00211754" w:rsidTr="0011736F">
        <w:tc>
          <w:tcPr>
            <w:tcW w:w="14884" w:type="dxa"/>
            <w:gridSpan w:val="3"/>
          </w:tcPr>
          <w:p w:rsidR="00527578" w:rsidRPr="00211754" w:rsidRDefault="00527578" w:rsidP="00F22C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Возможности</w:t>
            </w:r>
          </w:p>
        </w:tc>
      </w:tr>
      <w:tr w:rsidR="001909DF" w:rsidRPr="00211754" w:rsidTr="003E1890">
        <w:tc>
          <w:tcPr>
            <w:tcW w:w="709" w:type="dxa"/>
          </w:tcPr>
          <w:p w:rsidR="001909DF" w:rsidRPr="00211754" w:rsidRDefault="00FE1C7C" w:rsidP="00006A7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1909DF" w:rsidRPr="00211754" w:rsidRDefault="00F67466" w:rsidP="00006A7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Возможности, связанные с приорите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ным развитием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 на уровне государственной политики, что позволяет планировать привлеч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ние государственной поддержки для реализации мер финансовой и неф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нансовой поддержки российского </w:t>
            </w:r>
            <w:proofErr w:type="spellStart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сырьевого</w:t>
            </w:r>
            <w:proofErr w:type="spellEnd"/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экспорта</w:t>
            </w:r>
            <w:r w:rsidR="00444947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497" w:type="dxa"/>
          </w:tcPr>
          <w:p w:rsidR="007C09C2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усиление аналитической и конъюнктурной работы по идентификации перспе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тивных зарубежных рынков для российских товаров и услуг на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базе АО «Росси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>ский экспортный центр»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и его международной сети, торговых представительств Российской Федерации в иностран</w:t>
            </w:r>
            <w:r w:rsidR="00527578" w:rsidRPr="00211754">
              <w:rPr>
                <w:rFonts w:ascii="Times New Roman" w:hAnsi="Times New Roman" w:cs="Times New Roman"/>
                <w:sz w:val="26"/>
                <w:szCs w:val="26"/>
              </w:rPr>
              <w:t>ных государствах;</w:t>
            </w:r>
          </w:p>
          <w:p w:rsidR="007C09C2" w:rsidRPr="00211754" w:rsidRDefault="00F67466" w:rsidP="00006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2) реализация комплекса мер по продвижению российских товаров и услуг на пе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спективные зарубежные рынки, предусмотренных данн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приоритетн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>програ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>мой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отраслевыми приоритетными проектами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в ра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мках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>стратегического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 «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Меж</w:t>
            </w:r>
            <w:r w:rsidR="007C09C2" w:rsidRPr="00211754">
              <w:rPr>
                <w:rFonts w:ascii="Times New Roman" w:hAnsi="Times New Roman" w:cs="Times New Roman"/>
                <w:sz w:val="26"/>
                <w:szCs w:val="26"/>
              </w:rPr>
              <w:t>дународная кооперация и экспорт»;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1C7C" w:rsidRPr="00211754" w:rsidRDefault="00F67466" w:rsidP="004F2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3) взаимодействие с отраслевыми, некоммерческими и деловыми ассоциациями в целях содействия реализации программ, разработанных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ими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для продвижения продукции и услуг предприятий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малого и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среднего бизнеса</w:t>
            </w:r>
            <w:r w:rsidR="00070F6A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125F1" w:rsidRPr="00211754" w:rsidRDefault="00E125F1" w:rsidP="00006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457" w:rsidRPr="00211754" w:rsidRDefault="00F63457" w:rsidP="00006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D96" w:rsidRPr="00211754" w:rsidRDefault="00A548DE" w:rsidP="0000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754">
        <w:rPr>
          <w:rFonts w:ascii="Times New Roman" w:hAnsi="Times New Roman" w:cs="Times New Roman"/>
          <w:sz w:val="26"/>
          <w:szCs w:val="26"/>
        </w:rPr>
        <w:t>6.О</w:t>
      </w:r>
      <w:r w:rsidR="00DA0D96" w:rsidRPr="00211754">
        <w:rPr>
          <w:rFonts w:ascii="Times New Roman" w:hAnsi="Times New Roman" w:cs="Times New Roman"/>
          <w:sz w:val="26"/>
          <w:szCs w:val="26"/>
        </w:rPr>
        <w:t>писание приоритетно</w:t>
      </w:r>
      <w:r w:rsidR="004F0E56" w:rsidRPr="00211754">
        <w:rPr>
          <w:rFonts w:ascii="Times New Roman" w:hAnsi="Times New Roman" w:cs="Times New Roman"/>
          <w:sz w:val="26"/>
          <w:szCs w:val="26"/>
        </w:rPr>
        <w:t>й</w:t>
      </w:r>
      <w:r w:rsidR="00DA0D96" w:rsidRPr="00211754">
        <w:rPr>
          <w:rFonts w:ascii="Times New Roman" w:hAnsi="Times New Roman" w:cs="Times New Roman"/>
          <w:sz w:val="26"/>
          <w:szCs w:val="26"/>
        </w:rPr>
        <w:t xml:space="preserve"> </w:t>
      </w:r>
      <w:r w:rsidR="004F0E56" w:rsidRPr="00211754">
        <w:rPr>
          <w:rFonts w:ascii="Times New Roman" w:hAnsi="Times New Roman" w:cs="Times New Roman"/>
          <w:sz w:val="26"/>
          <w:szCs w:val="26"/>
        </w:rPr>
        <w:t>программы</w:t>
      </w:r>
    </w:p>
    <w:p w:rsidR="00C9111A" w:rsidRPr="00211754" w:rsidRDefault="00C9111A" w:rsidP="0000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DA0D96" w:rsidRPr="00211754" w:rsidTr="00DA0D96">
        <w:tc>
          <w:tcPr>
            <w:tcW w:w="3510" w:type="dxa"/>
          </w:tcPr>
          <w:p w:rsidR="00DA0D96" w:rsidRPr="00211754" w:rsidRDefault="00441917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Связь с государственными программами Чувашской Республики </w:t>
            </w:r>
          </w:p>
        </w:tc>
        <w:tc>
          <w:tcPr>
            <w:tcW w:w="11276" w:type="dxa"/>
          </w:tcPr>
          <w:p w:rsidR="00DF0BF4" w:rsidRPr="00211754" w:rsidRDefault="00DF0BF4" w:rsidP="00DF0B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программа Чувашской Республики «Экономическое развитие Чувашской Ре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публики»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утвержден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Кабинета Министров Чувашской Республики от 21 се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тября 2011 г. </w:t>
            </w:r>
            <w:r w:rsidRPr="002117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398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включая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следующие подпрограммы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24011D" w:rsidRPr="00211754" w:rsidRDefault="00947E73" w:rsidP="00DF0B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«Государственное стимулирование развития внешнеэкономической деятельности в Чувашской Республике»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«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благоприятных условий для продвижения товаров и услуг организаций на внешние рынки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 в Российской Федерации и посольствами и торговыми представительствами Российской Федерации в зарубежных странах, международными</w:t>
            </w:r>
            <w:proofErr w:type="gramEnd"/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организациями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и участие в торговых </w:t>
            </w:r>
            <w:proofErr w:type="gramStart"/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выставках</w:t>
            </w:r>
            <w:proofErr w:type="gramEnd"/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специализированных форумах (конференциях, семинарах и др.), мероприят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ях международного и российского уровня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Финансовая поддержка развития внешнеэкономич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деятельности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Информационная поддержка развития внешнеэкономической деятельн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сти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6C7323" w:rsidRPr="00211754" w:rsidRDefault="006C7323" w:rsidP="00A54A1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субъектов малого и среднего предпринимательства в Чувашской Республике»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мер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приятие «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экспортно-ориентированных субъектов малого и среднего предпринимател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ства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8427D" w:rsidRPr="00211754" w:rsidRDefault="00E8427D" w:rsidP="00A54A1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«Формирование благоприятной инвестиционной среды в Чувашской Республике»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«Формирование территорий опережающего развития (инвестиционных площадок, оборудованных 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необходимой инженерной инфраструктурой) и реализация приоритетных инвестиционных прое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тов», </w:t>
            </w:r>
            <w:r w:rsidR="00F22CB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«Разработка и внедрение инструментов, способствующих повышению имиджа Чувашской Республики и продвижению брендов производителей Чувашской Республики»</w:t>
            </w:r>
            <w:r w:rsidR="005E1A58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5E1A58" w:rsidRPr="00211754" w:rsidRDefault="005E1A58" w:rsidP="00A54A1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E1A58" w:rsidRPr="00211754" w:rsidRDefault="00947E73" w:rsidP="00271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Чувашской Республики «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промышленности и инновационная экономика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утвержден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4F2BA2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Кабинета Министров Чувашской Республики </w:t>
            </w:r>
            <w:r w:rsidR="003E5C5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 13 а</w:t>
            </w:r>
            <w:r w:rsidR="003E5C5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3E5C5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густа 2016 г. 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3E5C54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337</w:t>
            </w:r>
            <w:r w:rsidR="005E1A58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включая следующие подпрограммы:</w:t>
            </w:r>
          </w:p>
          <w:p w:rsidR="005E1A58" w:rsidRPr="00211754" w:rsidRDefault="005E1A58" w:rsidP="00271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«Инновационное развитие промышленности Чувашской Республики» (мероприятие 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межрегионального и международного сотрудничества в области инноваций, популяризация инн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A54A1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ватики»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47E73" w:rsidRPr="00211754" w:rsidRDefault="005E1A58" w:rsidP="00271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инновационного территориального электротехнического кластера Чувашской Респу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лики» (мероприятие </w:t>
            </w:r>
            <w:r w:rsidR="002712F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«Проведение выставочно-ярмарочных мероприятий, а также участие предст</w:t>
            </w:r>
            <w:r w:rsidR="002712F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2712F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вителей организаций - участников кластера в выставочно-ярмарочных и коммуникативных мер</w:t>
            </w:r>
            <w:r w:rsidR="002712F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2712F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приятиях в Российской Федерации и за рубежом»).</w:t>
            </w:r>
          </w:p>
          <w:p w:rsidR="00947E73" w:rsidRPr="00211754" w:rsidRDefault="00947E73" w:rsidP="006C7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D96" w:rsidRPr="00211754" w:rsidTr="00DA0D96">
        <w:tc>
          <w:tcPr>
            <w:tcW w:w="3510" w:type="dxa"/>
          </w:tcPr>
          <w:p w:rsidR="00282728" w:rsidRPr="00211754" w:rsidRDefault="00441917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Взаимосвязь с другими </w:t>
            </w:r>
          </w:p>
          <w:p w:rsidR="00DA0D96" w:rsidRPr="00211754" w:rsidRDefault="00441917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проектами и программами</w:t>
            </w:r>
          </w:p>
        </w:tc>
        <w:tc>
          <w:tcPr>
            <w:tcW w:w="11276" w:type="dxa"/>
          </w:tcPr>
          <w:p w:rsidR="00DA0D96" w:rsidRPr="00211754" w:rsidRDefault="00D247A2" w:rsidP="00E8427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="00947E73" w:rsidRPr="00211754">
                <w:rPr>
                  <w:rFonts w:ascii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Стратегия социально-экономического развития Чувашской Республики до 2020 года, утвержде</w:t>
              </w:r>
              <w:r w:rsidR="00947E73" w:rsidRPr="00211754">
                <w:rPr>
                  <w:rFonts w:ascii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н</w:t>
              </w:r>
              <w:r w:rsidR="00947E73" w:rsidRPr="00211754">
                <w:rPr>
                  <w:rFonts w:ascii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ная </w:t>
              </w:r>
            </w:hyperlink>
            <w:r w:rsidR="00947E7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Законом Чувашской Республики от 4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июня </w:t>
            </w:r>
            <w:r w:rsidR="00947E7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2007 </w:t>
            </w:r>
            <w:r w:rsidR="0043002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</w:t>
            </w:r>
            <w:r w:rsidR="00947E73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 8;</w:t>
            </w:r>
          </w:p>
          <w:p w:rsidR="00890C9B" w:rsidRPr="00211754" w:rsidRDefault="00890C9B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План мероприятий («дорожная карта») «Совершенствование таможенного администрирования», утвержденный распоряжением 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Правит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ельства Российской Федерации от 29</w:t>
            </w:r>
            <w:r w:rsidR="002712F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июня 2012 г. </w:t>
            </w:r>
            <w:r w:rsidR="002712FD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712FD" w:rsidRPr="002117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1125-р; </w:t>
            </w:r>
          </w:p>
          <w:p w:rsidR="00F90D0E" w:rsidRPr="00211754" w:rsidRDefault="00947E73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24011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лан мероприя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тий («дорожная</w:t>
            </w:r>
            <w:r w:rsidR="0024011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а») «</w:t>
            </w:r>
            <w:r w:rsidR="0024011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доступа на рынки зарубежных стран и по</w:t>
            </w:r>
            <w:r w:rsidR="0024011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24011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держка экспорта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»,</w:t>
            </w:r>
            <w:r w:rsidR="0024011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утвержден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ный</w:t>
            </w:r>
            <w:r w:rsidR="0024011D"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распоряжением Правит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ства Российской Федерации от 29 </w:t>
            </w:r>
            <w:r w:rsidR="0024011D" w:rsidRPr="00211754">
              <w:rPr>
                <w:rFonts w:ascii="Times New Roman" w:hAnsi="Times New Roman" w:cs="Times New Roman"/>
                <w:sz w:val="26"/>
                <w:szCs w:val="26"/>
              </w:rPr>
              <w:t>июня 2012 г. № 1128-р</w:t>
            </w:r>
            <w:r w:rsidR="00F63457" w:rsidRPr="00211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002D" w:rsidRPr="00211754" w:rsidRDefault="0043002D" w:rsidP="00006A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D96" w:rsidRPr="00211754" w:rsidTr="00DA0D96">
        <w:tc>
          <w:tcPr>
            <w:tcW w:w="3510" w:type="dxa"/>
          </w:tcPr>
          <w:p w:rsidR="00DA0D96" w:rsidRPr="00211754" w:rsidRDefault="00441917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Формальные основания для инициации</w:t>
            </w:r>
          </w:p>
        </w:tc>
        <w:tc>
          <w:tcPr>
            <w:tcW w:w="11276" w:type="dxa"/>
          </w:tcPr>
          <w:p w:rsidR="00890C9B" w:rsidRPr="00211754" w:rsidRDefault="00890C9B" w:rsidP="00890C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15 октября 2016 г. № 1050 «Об организ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ции проектной деятельности в Правительстве Российской Федерации»;</w:t>
            </w:r>
          </w:p>
          <w:p w:rsidR="001C1BB3" w:rsidRPr="00211754" w:rsidRDefault="000636F3" w:rsidP="00C91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Указ Главы Чувашской Республики от 31 октября 2016 г. №159 «Об организации проектной де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тельности в Чувашской Республике»</w:t>
            </w:r>
            <w:r w:rsidR="00C9111A" w:rsidRPr="002117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1BB3" w:rsidRPr="00211754" w:rsidRDefault="000636F3" w:rsidP="00C9111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Постановление Кабинета Министров Чувашской Республики от 19 января 2017 г. № 3 «Об утве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ждении Положения об организации проектной деятельности в Чувашской Республике и о внес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нии изменений в некоторые постановления Кабинета Министров Чувашской Республики»</w:t>
            </w:r>
            <w:r w:rsidR="00C9111A" w:rsidRPr="002117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A0D96" w:rsidRPr="00211754" w:rsidRDefault="0024011D" w:rsidP="00953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Протокол заседания президиума Совета при Президенте Российской Федерации по стратегич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скому развитию и приоритетным прое</w:t>
            </w:r>
            <w:r w:rsidR="0043002D" w:rsidRPr="00211754">
              <w:rPr>
                <w:rFonts w:ascii="Times New Roman" w:hAnsi="Times New Roman" w:cs="Times New Roman"/>
                <w:sz w:val="26"/>
                <w:szCs w:val="26"/>
              </w:rPr>
              <w:t>ктам от 27 сентября 2016 г. № 5;</w:t>
            </w:r>
          </w:p>
          <w:p w:rsidR="0043002D" w:rsidRPr="00211754" w:rsidRDefault="0043002D" w:rsidP="00953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совещания у заместителя Руководителя Аппарата Правительства Российской Федер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ции – директора Департамента проектной деятельности Правительства Российской Федерации А.А. Слепнева от 8 ноября 2016 г. № АС-п6-2пр</w:t>
            </w:r>
            <w:r w:rsidR="00070F6A" w:rsidRPr="002117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0F6A" w:rsidRPr="00211754" w:rsidRDefault="00070F6A" w:rsidP="00953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Протокол Совета при Главе Чувашской Республики по стратегическому развитию и приоритетным проектам от 28 декабря 2016 г. № 2.</w:t>
            </w:r>
          </w:p>
          <w:p w:rsidR="00282728" w:rsidRPr="00211754" w:rsidRDefault="00282728" w:rsidP="009539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D96" w:rsidRPr="00006A7E" w:rsidTr="00DA0D96">
        <w:tc>
          <w:tcPr>
            <w:tcW w:w="3510" w:type="dxa"/>
          </w:tcPr>
          <w:p w:rsidR="00DA0D96" w:rsidRPr="00211754" w:rsidRDefault="00282728" w:rsidP="00006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Дополнительная информация</w:t>
            </w:r>
          </w:p>
        </w:tc>
        <w:tc>
          <w:tcPr>
            <w:tcW w:w="11276" w:type="dxa"/>
          </w:tcPr>
          <w:p w:rsidR="00890C9B" w:rsidRPr="00211754" w:rsidRDefault="00890C9B" w:rsidP="00890C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Ограничением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приоритетной </w:t>
            </w:r>
            <w:r w:rsidR="004F0E56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</w:t>
            </w:r>
            <w:r w:rsidR="004F0E56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ее 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реализация с учетом существующих эк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>портных ограничений.</w:t>
            </w:r>
          </w:p>
          <w:p w:rsidR="0083097D" w:rsidRPr="00211754" w:rsidRDefault="0083097D" w:rsidP="004F0E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приоритетной программы «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кооперация и поддержка экспорта» осуществляется в рамках соответствующих государственных программ Чувашской Республики: </w:t>
            </w:r>
          </w:p>
          <w:p w:rsidR="0083097D" w:rsidRPr="00211754" w:rsidRDefault="0083097D" w:rsidP="0083097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государственной программы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Чувашской Республики «Экономическое развитие Чувашской Ре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публики» (подпрограммы «Государственное стимулирование развития внешнеэкономической де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тельности в Чувашской Республике»; «Развитие субъектов малого и среднего предпринимател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ства в Чувашской Республике»; «Формирование благоприятной инвестиционной среды в Чува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Республике») и государственной программы Чувашской Республики «Развитие промышле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2117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 и инновационная экономика»</w:t>
            </w:r>
            <w:r w:rsidRPr="002117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F0E56" w:rsidRPr="00006A7E" w:rsidRDefault="00F63457" w:rsidP="008309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4F2BA2"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приоритетной </w:t>
            </w:r>
            <w:r w:rsidR="004F0E56" w:rsidRPr="0021175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11754">
              <w:rPr>
                <w:rFonts w:ascii="Times New Roman" w:hAnsi="Times New Roman" w:cs="Times New Roman"/>
                <w:sz w:val="26"/>
                <w:szCs w:val="26"/>
              </w:rPr>
              <w:t xml:space="preserve"> достижима при сохранении уровня финансирования </w:t>
            </w:r>
            <w:r w:rsidR="0083097D" w:rsidRPr="00211754">
              <w:rPr>
                <w:rFonts w:ascii="Times New Roman" w:hAnsi="Times New Roman" w:cs="Times New Roman"/>
                <w:sz w:val="26"/>
                <w:szCs w:val="26"/>
              </w:rPr>
              <w:t>государстве</w:t>
            </w:r>
            <w:r w:rsidR="0083097D" w:rsidRPr="002117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3097D" w:rsidRPr="00211754">
              <w:rPr>
                <w:rFonts w:ascii="Times New Roman" w:hAnsi="Times New Roman" w:cs="Times New Roman"/>
                <w:sz w:val="26"/>
                <w:szCs w:val="26"/>
              </w:rPr>
              <w:t>ных программ Чувашской Республики.</w:t>
            </w:r>
          </w:p>
        </w:tc>
      </w:tr>
    </w:tbl>
    <w:p w:rsidR="00B94061" w:rsidRPr="00006A7E" w:rsidRDefault="00B94061" w:rsidP="0000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94061" w:rsidRPr="00006A7E" w:rsidSect="00C553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A2" w:rsidRDefault="00D247A2" w:rsidP="009B5DD8">
      <w:pPr>
        <w:spacing w:after="0" w:line="240" w:lineRule="auto"/>
      </w:pPr>
      <w:r>
        <w:separator/>
      </w:r>
    </w:p>
  </w:endnote>
  <w:endnote w:type="continuationSeparator" w:id="0">
    <w:p w:rsidR="00D247A2" w:rsidRDefault="00D247A2" w:rsidP="009B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A2" w:rsidRDefault="00D247A2" w:rsidP="009B5DD8">
      <w:pPr>
        <w:spacing w:after="0" w:line="240" w:lineRule="auto"/>
      </w:pPr>
      <w:r>
        <w:separator/>
      </w:r>
    </w:p>
  </w:footnote>
  <w:footnote w:type="continuationSeparator" w:id="0">
    <w:p w:rsidR="00D247A2" w:rsidRDefault="00D247A2" w:rsidP="009B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756"/>
    <w:multiLevelType w:val="hybridMultilevel"/>
    <w:tmpl w:val="03762DCA"/>
    <w:lvl w:ilvl="0" w:tplc="256CF2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8C1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69E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EB0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A38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273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6A7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894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CA3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A5AE6"/>
    <w:multiLevelType w:val="hybridMultilevel"/>
    <w:tmpl w:val="16A0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52CB"/>
    <w:multiLevelType w:val="hybridMultilevel"/>
    <w:tmpl w:val="D396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B3DAE"/>
    <w:multiLevelType w:val="hybridMultilevel"/>
    <w:tmpl w:val="35CC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01D15"/>
    <w:multiLevelType w:val="hybridMultilevel"/>
    <w:tmpl w:val="97EA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4943"/>
    <w:multiLevelType w:val="hybridMultilevel"/>
    <w:tmpl w:val="9188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4590E"/>
    <w:multiLevelType w:val="hybridMultilevel"/>
    <w:tmpl w:val="B9707EF8"/>
    <w:lvl w:ilvl="0" w:tplc="BF12B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B6099"/>
    <w:multiLevelType w:val="hybridMultilevel"/>
    <w:tmpl w:val="CDE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C1DD5"/>
    <w:multiLevelType w:val="hybridMultilevel"/>
    <w:tmpl w:val="FCFAC94E"/>
    <w:lvl w:ilvl="0" w:tplc="56823C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3E60212"/>
    <w:multiLevelType w:val="hybridMultilevel"/>
    <w:tmpl w:val="4C00256A"/>
    <w:lvl w:ilvl="0" w:tplc="9C085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47A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E3A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26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A3B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E4D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093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A1A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AD9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2B77A0"/>
    <w:multiLevelType w:val="hybridMultilevel"/>
    <w:tmpl w:val="F2F0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61A90"/>
    <w:multiLevelType w:val="hybridMultilevel"/>
    <w:tmpl w:val="FC6A338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1330A6"/>
    <w:multiLevelType w:val="hybridMultilevel"/>
    <w:tmpl w:val="B4BC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54A6C"/>
    <w:multiLevelType w:val="hybridMultilevel"/>
    <w:tmpl w:val="837EFF9E"/>
    <w:lvl w:ilvl="0" w:tplc="BA8AAF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83C79"/>
    <w:multiLevelType w:val="hybridMultilevel"/>
    <w:tmpl w:val="347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C6128"/>
    <w:multiLevelType w:val="hybridMultilevel"/>
    <w:tmpl w:val="6AD2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A6D79"/>
    <w:multiLevelType w:val="hybridMultilevel"/>
    <w:tmpl w:val="97EA5DFA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106AE"/>
    <w:multiLevelType w:val="hybridMultilevel"/>
    <w:tmpl w:val="8E3041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7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1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1A"/>
    <w:rsid w:val="00006A7E"/>
    <w:rsid w:val="000114FE"/>
    <w:rsid w:val="000130C5"/>
    <w:rsid w:val="00017A3D"/>
    <w:rsid w:val="00023341"/>
    <w:rsid w:val="0003215A"/>
    <w:rsid w:val="00032464"/>
    <w:rsid w:val="000332DE"/>
    <w:rsid w:val="0003572C"/>
    <w:rsid w:val="00043768"/>
    <w:rsid w:val="00046E97"/>
    <w:rsid w:val="00054192"/>
    <w:rsid w:val="000636F3"/>
    <w:rsid w:val="0006689F"/>
    <w:rsid w:val="00070E48"/>
    <w:rsid w:val="00070F6A"/>
    <w:rsid w:val="0008583D"/>
    <w:rsid w:val="0008651A"/>
    <w:rsid w:val="000A356F"/>
    <w:rsid w:val="000B3E67"/>
    <w:rsid w:val="000C1F24"/>
    <w:rsid w:val="000E72B5"/>
    <w:rsid w:val="000F1AAB"/>
    <w:rsid w:val="000F6241"/>
    <w:rsid w:val="00103220"/>
    <w:rsid w:val="001037BB"/>
    <w:rsid w:val="0011736F"/>
    <w:rsid w:val="001239F6"/>
    <w:rsid w:val="001251A4"/>
    <w:rsid w:val="001315CA"/>
    <w:rsid w:val="001436CC"/>
    <w:rsid w:val="001633B4"/>
    <w:rsid w:val="00164210"/>
    <w:rsid w:val="0017333F"/>
    <w:rsid w:val="00177B79"/>
    <w:rsid w:val="001909DF"/>
    <w:rsid w:val="001A24F6"/>
    <w:rsid w:val="001C1BB3"/>
    <w:rsid w:val="001C6EB4"/>
    <w:rsid w:val="001D4B95"/>
    <w:rsid w:val="001F591F"/>
    <w:rsid w:val="001F6F0D"/>
    <w:rsid w:val="00211754"/>
    <w:rsid w:val="00221187"/>
    <w:rsid w:val="00223B91"/>
    <w:rsid w:val="00231FBA"/>
    <w:rsid w:val="0024011D"/>
    <w:rsid w:val="00241FB4"/>
    <w:rsid w:val="00263A89"/>
    <w:rsid w:val="002712FD"/>
    <w:rsid w:val="00276CA8"/>
    <w:rsid w:val="00282728"/>
    <w:rsid w:val="00294B94"/>
    <w:rsid w:val="00296403"/>
    <w:rsid w:val="002C7239"/>
    <w:rsid w:val="002C791F"/>
    <w:rsid w:val="002D04E2"/>
    <w:rsid w:val="002D386C"/>
    <w:rsid w:val="002E070B"/>
    <w:rsid w:val="00310929"/>
    <w:rsid w:val="0031116D"/>
    <w:rsid w:val="00317B00"/>
    <w:rsid w:val="00346A7B"/>
    <w:rsid w:val="00351367"/>
    <w:rsid w:val="00361072"/>
    <w:rsid w:val="00361657"/>
    <w:rsid w:val="003832E2"/>
    <w:rsid w:val="0039081F"/>
    <w:rsid w:val="003D03AD"/>
    <w:rsid w:val="003D7F72"/>
    <w:rsid w:val="003E1890"/>
    <w:rsid w:val="003E4436"/>
    <w:rsid w:val="003E5C54"/>
    <w:rsid w:val="004023F1"/>
    <w:rsid w:val="00412F13"/>
    <w:rsid w:val="0043002D"/>
    <w:rsid w:val="00437E3C"/>
    <w:rsid w:val="00441917"/>
    <w:rsid w:val="00444947"/>
    <w:rsid w:val="00446000"/>
    <w:rsid w:val="00454796"/>
    <w:rsid w:val="0047384E"/>
    <w:rsid w:val="004739D6"/>
    <w:rsid w:val="004A4BC3"/>
    <w:rsid w:val="004C4731"/>
    <w:rsid w:val="004E0A9A"/>
    <w:rsid w:val="004F0E56"/>
    <w:rsid w:val="004F2BA2"/>
    <w:rsid w:val="004F7FE6"/>
    <w:rsid w:val="005021F8"/>
    <w:rsid w:val="00515050"/>
    <w:rsid w:val="00527578"/>
    <w:rsid w:val="00533401"/>
    <w:rsid w:val="00533472"/>
    <w:rsid w:val="00567510"/>
    <w:rsid w:val="00577D19"/>
    <w:rsid w:val="00581145"/>
    <w:rsid w:val="00581ABB"/>
    <w:rsid w:val="00583090"/>
    <w:rsid w:val="00585A59"/>
    <w:rsid w:val="00586A9E"/>
    <w:rsid w:val="00592172"/>
    <w:rsid w:val="005B38ED"/>
    <w:rsid w:val="005D0B2D"/>
    <w:rsid w:val="005D482A"/>
    <w:rsid w:val="005D6E6F"/>
    <w:rsid w:val="005E1A58"/>
    <w:rsid w:val="005F1CDD"/>
    <w:rsid w:val="005F5BD6"/>
    <w:rsid w:val="005F6268"/>
    <w:rsid w:val="005F79E3"/>
    <w:rsid w:val="00606FCA"/>
    <w:rsid w:val="00610B91"/>
    <w:rsid w:val="006301FC"/>
    <w:rsid w:val="0063021D"/>
    <w:rsid w:val="0063288D"/>
    <w:rsid w:val="00637F49"/>
    <w:rsid w:val="0065769E"/>
    <w:rsid w:val="00662B0D"/>
    <w:rsid w:val="00682149"/>
    <w:rsid w:val="006957C7"/>
    <w:rsid w:val="006B4D8C"/>
    <w:rsid w:val="006C7323"/>
    <w:rsid w:val="007020BE"/>
    <w:rsid w:val="0070378C"/>
    <w:rsid w:val="007255FF"/>
    <w:rsid w:val="007528CA"/>
    <w:rsid w:val="007835E1"/>
    <w:rsid w:val="007843DC"/>
    <w:rsid w:val="00787896"/>
    <w:rsid w:val="00795C2F"/>
    <w:rsid w:val="007A487D"/>
    <w:rsid w:val="007C09C2"/>
    <w:rsid w:val="007C2D4F"/>
    <w:rsid w:val="007D03D8"/>
    <w:rsid w:val="007D7421"/>
    <w:rsid w:val="007F1F44"/>
    <w:rsid w:val="007F26AD"/>
    <w:rsid w:val="0080728A"/>
    <w:rsid w:val="00807D66"/>
    <w:rsid w:val="008222FC"/>
    <w:rsid w:val="00827302"/>
    <w:rsid w:val="0083097D"/>
    <w:rsid w:val="00857BAF"/>
    <w:rsid w:val="00863220"/>
    <w:rsid w:val="008733CC"/>
    <w:rsid w:val="00874EA1"/>
    <w:rsid w:val="00890C9B"/>
    <w:rsid w:val="00891F35"/>
    <w:rsid w:val="00896245"/>
    <w:rsid w:val="008A232F"/>
    <w:rsid w:val="008A599C"/>
    <w:rsid w:val="008B2B90"/>
    <w:rsid w:val="008C4380"/>
    <w:rsid w:val="008D1DCF"/>
    <w:rsid w:val="008D4184"/>
    <w:rsid w:val="008F3589"/>
    <w:rsid w:val="008F4464"/>
    <w:rsid w:val="00901B36"/>
    <w:rsid w:val="0091171A"/>
    <w:rsid w:val="009135C6"/>
    <w:rsid w:val="00936B8E"/>
    <w:rsid w:val="009432B3"/>
    <w:rsid w:val="00947E73"/>
    <w:rsid w:val="00953746"/>
    <w:rsid w:val="00953994"/>
    <w:rsid w:val="00960B58"/>
    <w:rsid w:val="00964116"/>
    <w:rsid w:val="00984409"/>
    <w:rsid w:val="0098444D"/>
    <w:rsid w:val="009B483D"/>
    <w:rsid w:val="009B5DD8"/>
    <w:rsid w:val="009B77C5"/>
    <w:rsid w:val="009C0044"/>
    <w:rsid w:val="009C2B85"/>
    <w:rsid w:val="009C5AD3"/>
    <w:rsid w:val="009E21F3"/>
    <w:rsid w:val="009F5083"/>
    <w:rsid w:val="009F7A0C"/>
    <w:rsid w:val="00A01803"/>
    <w:rsid w:val="00A123F0"/>
    <w:rsid w:val="00A5000B"/>
    <w:rsid w:val="00A548DE"/>
    <w:rsid w:val="00A54A13"/>
    <w:rsid w:val="00A567C0"/>
    <w:rsid w:val="00A61CBD"/>
    <w:rsid w:val="00A73ADC"/>
    <w:rsid w:val="00AA1F5E"/>
    <w:rsid w:val="00AA238F"/>
    <w:rsid w:val="00AA3DD8"/>
    <w:rsid w:val="00AB0879"/>
    <w:rsid w:val="00AB3095"/>
    <w:rsid w:val="00AC2F6F"/>
    <w:rsid w:val="00AD580B"/>
    <w:rsid w:val="00AF0D65"/>
    <w:rsid w:val="00AF14B9"/>
    <w:rsid w:val="00B02189"/>
    <w:rsid w:val="00B04FA1"/>
    <w:rsid w:val="00B23345"/>
    <w:rsid w:val="00B35FF2"/>
    <w:rsid w:val="00B50041"/>
    <w:rsid w:val="00B52638"/>
    <w:rsid w:val="00B5584B"/>
    <w:rsid w:val="00B812E0"/>
    <w:rsid w:val="00B90911"/>
    <w:rsid w:val="00B93D26"/>
    <w:rsid w:val="00B94061"/>
    <w:rsid w:val="00BD24C0"/>
    <w:rsid w:val="00BD317E"/>
    <w:rsid w:val="00BD54C6"/>
    <w:rsid w:val="00BD5CEF"/>
    <w:rsid w:val="00BD7834"/>
    <w:rsid w:val="00BD7DC6"/>
    <w:rsid w:val="00C03C3C"/>
    <w:rsid w:val="00C110A7"/>
    <w:rsid w:val="00C17AD5"/>
    <w:rsid w:val="00C350C8"/>
    <w:rsid w:val="00C5536D"/>
    <w:rsid w:val="00C62D69"/>
    <w:rsid w:val="00C7443C"/>
    <w:rsid w:val="00C868BC"/>
    <w:rsid w:val="00C9111A"/>
    <w:rsid w:val="00C91BB5"/>
    <w:rsid w:val="00CA4CBE"/>
    <w:rsid w:val="00CB08D6"/>
    <w:rsid w:val="00CC45C2"/>
    <w:rsid w:val="00CC7A5B"/>
    <w:rsid w:val="00CE0199"/>
    <w:rsid w:val="00D247A2"/>
    <w:rsid w:val="00D333E9"/>
    <w:rsid w:val="00D400C8"/>
    <w:rsid w:val="00D40BF0"/>
    <w:rsid w:val="00D4507D"/>
    <w:rsid w:val="00D564E7"/>
    <w:rsid w:val="00D81F92"/>
    <w:rsid w:val="00D84E57"/>
    <w:rsid w:val="00D964C0"/>
    <w:rsid w:val="00DA0D96"/>
    <w:rsid w:val="00DB7BEB"/>
    <w:rsid w:val="00DC7993"/>
    <w:rsid w:val="00DD2C46"/>
    <w:rsid w:val="00DD41EC"/>
    <w:rsid w:val="00DD4573"/>
    <w:rsid w:val="00DE1360"/>
    <w:rsid w:val="00DF0BF4"/>
    <w:rsid w:val="00DF1145"/>
    <w:rsid w:val="00DF3892"/>
    <w:rsid w:val="00E125F1"/>
    <w:rsid w:val="00E126AF"/>
    <w:rsid w:val="00E127DC"/>
    <w:rsid w:val="00E13AAD"/>
    <w:rsid w:val="00E161E8"/>
    <w:rsid w:val="00E17302"/>
    <w:rsid w:val="00E21DDA"/>
    <w:rsid w:val="00E40866"/>
    <w:rsid w:val="00E47959"/>
    <w:rsid w:val="00E47EED"/>
    <w:rsid w:val="00E675D9"/>
    <w:rsid w:val="00E71A93"/>
    <w:rsid w:val="00E8223E"/>
    <w:rsid w:val="00E82FF8"/>
    <w:rsid w:val="00E8350F"/>
    <w:rsid w:val="00E8427D"/>
    <w:rsid w:val="00E91991"/>
    <w:rsid w:val="00EF4FEE"/>
    <w:rsid w:val="00EF72EF"/>
    <w:rsid w:val="00F22CB4"/>
    <w:rsid w:val="00F23D45"/>
    <w:rsid w:val="00F471B0"/>
    <w:rsid w:val="00F51EAF"/>
    <w:rsid w:val="00F63457"/>
    <w:rsid w:val="00F6548B"/>
    <w:rsid w:val="00F67466"/>
    <w:rsid w:val="00F90D0E"/>
    <w:rsid w:val="00FD2CE5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172"/>
    <w:pPr>
      <w:ind w:left="720"/>
      <w:contextualSpacing/>
    </w:pPr>
  </w:style>
  <w:style w:type="table" w:styleId="a4">
    <w:name w:val="Table Grid"/>
    <w:basedOn w:val="a1"/>
    <w:uiPriority w:val="59"/>
    <w:rsid w:val="00592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B5D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5D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B5D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A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D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3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47E73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D45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rsid w:val="00890C9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890C9B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172"/>
    <w:pPr>
      <w:ind w:left="720"/>
      <w:contextualSpacing/>
    </w:pPr>
  </w:style>
  <w:style w:type="table" w:styleId="a4">
    <w:name w:val="Table Grid"/>
    <w:basedOn w:val="a1"/>
    <w:uiPriority w:val="59"/>
    <w:rsid w:val="00592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B5D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5D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B5D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A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D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3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47E73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D45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9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rsid w:val="00890C9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890C9B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784">
          <w:marLeft w:val="44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163">
          <w:marLeft w:val="44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v.cap.ru/../UserFiles/orgs/GrvId_24/zakon_ot_16082016_57_o_vnes_izme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2E3F-DAB3-4755-9D4B-635535B7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26.</dc:creator>
  <cp:lastModifiedBy>economy57 (Петрова И.В.)</cp:lastModifiedBy>
  <cp:revision>4</cp:revision>
  <cp:lastPrinted>2017-02-08T13:36:00Z</cp:lastPrinted>
  <dcterms:created xsi:type="dcterms:W3CDTF">2017-02-10T14:46:00Z</dcterms:created>
  <dcterms:modified xsi:type="dcterms:W3CDTF">2017-02-20T11:35:00Z</dcterms:modified>
</cp:coreProperties>
</file>