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E" w:rsidRPr="00565BA9" w:rsidRDefault="00CD5C5E" w:rsidP="00CD5C5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65BA9">
        <w:rPr>
          <w:rFonts w:ascii="Times New Roman" w:eastAsia="Times New Roman" w:hAnsi="Times New Roman" w:cs="Times New Roman"/>
          <w:b/>
          <w:bCs/>
          <w:kern w:val="36"/>
          <w:sz w:val="24"/>
          <w:szCs w:val="24"/>
          <w:lang w:eastAsia="ru-RU"/>
        </w:rPr>
        <w:t>Минстрой России упростил процедуру проведения повторной экспертизы проектной документации</w:t>
      </w:r>
    </w:p>
    <w:p w:rsidR="00CD5C5E" w:rsidRPr="00CD5C5E" w:rsidRDefault="00CD5C5E" w:rsidP="00CD5C5E">
      <w:pPr>
        <w:spacing w:after="0" w:line="240" w:lineRule="auto"/>
        <w:rPr>
          <w:rFonts w:ascii="Times New Roman" w:eastAsia="Times New Roman" w:hAnsi="Times New Roman" w:cs="Times New Roman"/>
          <w:sz w:val="24"/>
          <w:szCs w:val="24"/>
          <w:lang w:eastAsia="ru-RU"/>
        </w:rPr>
      </w:pPr>
      <w:bookmarkStart w:id="0" w:name="_GoBack"/>
      <w:r w:rsidRPr="00CD5C5E">
        <w:rPr>
          <w:rFonts w:ascii="Times New Roman" w:eastAsia="Times New Roman" w:hAnsi="Times New Roman" w:cs="Times New Roman"/>
          <w:noProof/>
          <w:color w:val="0000FF"/>
          <w:sz w:val="24"/>
          <w:szCs w:val="24"/>
          <w:lang w:eastAsia="ru-RU"/>
        </w:rPr>
        <w:drawing>
          <wp:inline distT="0" distB="0" distL="0" distR="0" wp14:anchorId="3F8AA748" wp14:editId="6AD6CFD7">
            <wp:extent cx="5143500" cy="3429000"/>
            <wp:effectExtent l="0" t="0" r="0" b="0"/>
            <wp:docPr id="1" name="Рисунок 1" descr="Минстрой России упростил процедуру проведения повторной экспертизы проектной документаци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строй России упростил процедуру проведения повторной экспертизы проектной документации">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bookmarkEnd w:id="0"/>
    </w:p>
    <w:p w:rsidR="00CD5C5E" w:rsidRPr="00CD5C5E" w:rsidRDefault="00CD5C5E" w:rsidP="00CD5C5E">
      <w:pPr>
        <w:spacing w:after="0" w:line="240" w:lineRule="auto"/>
        <w:jc w:val="both"/>
        <w:rPr>
          <w:rFonts w:ascii="Times New Roman" w:eastAsia="Times New Roman" w:hAnsi="Times New Roman" w:cs="Times New Roman"/>
          <w:sz w:val="24"/>
          <w:szCs w:val="24"/>
          <w:lang w:eastAsia="ru-RU"/>
        </w:rPr>
      </w:pPr>
      <w:r w:rsidRPr="00CD5C5E">
        <w:rPr>
          <w:rFonts w:ascii="Times New Roman" w:eastAsia="Times New Roman" w:hAnsi="Times New Roman" w:cs="Times New Roman"/>
          <w:sz w:val="24"/>
          <w:szCs w:val="24"/>
          <w:lang w:eastAsia="ru-RU"/>
        </w:rPr>
        <w:t>Упрощена процедура проведения повторной экспертизы проектной документации. Соответствующий Федеральный закон, разработанный Минстроем России, размещен на официальном интернет-портале правовой информации.</w:t>
      </w:r>
    </w:p>
    <w:p w:rsidR="00CD5C5E" w:rsidRPr="00CD5C5E" w:rsidRDefault="00CD5C5E" w:rsidP="00CD5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C5E">
        <w:rPr>
          <w:rFonts w:ascii="Times New Roman" w:eastAsia="Times New Roman" w:hAnsi="Times New Roman" w:cs="Times New Roman"/>
          <w:sz w:val="24"/>
          <w:szCs w:val="24"/>
          <w:lang w:eastAsia="ru-RU"/>
        </w:rPr>
        <w:t>Законодательные изменения разработаны Минстроем по поручению Президента России по итогам заседания президиума Госсовета в Казани, прошедшего в феврале текущего года. Они призваны ликвидировать один из самых болезненных на сегодняшний день вопросов в области экспертизы и строительства, - необходимость повторной экспертизы при любых, в том числе незначительных, изменениях проектной документации.</w:t>
      </w:r>
    </w:p>
    <w:p w:rsidR="00CD5C5E" w:rsidRPr="00CD5C5E" w:rsidRDefault="00CD5C5E" w:rsidP="00CD5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C5E">
        <w:rPr>
          <w:rFonts w:ascii="Times New Roman" w:eastAsia="Times New Roman" w:hAnsi="Times New Roman" w:cs="Times New Roman"/>
          <w:sz w:val="24"/>
          <w:szCs w:val="24"/>
          <w:lang w:eastAsia="ru-RU"/>
        </w:rPr>
        <w:t>Такая мера позволит сократить на 3-6 месяцев строительство объектов, в том числе возводимым по программам национальных проектов, с полным сохранением требований к обеспечению безопасности зданий и сооружений.</w:t>
      </w:r>
    </w:p>
    <w:p w:rsidR="00CD5C5E" w:rsidRPr="00CD5C5E" w:rsidRDefault="00CD5C5E" w:rsidP="00CD5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C5E">
        <w:rPr>
          <w:rFonts w:ascii="Times New Roman" w:eastAsia="Times New Roman" w:hAnsi="Times New Roman" w:cs="Times New Roman"/>
          <w:sz w:val="24"/>
          <w:szCs w:val="24"/>
          <w:lang w:eastAsia="ru-RU"/>
        </w:rPr>
        <w:t>В частности, экспертиза проектной документации по решению застройщика может не проводиться если в проектную документацию, получившую ранее положительное заключение экспертизы, внесены изменения, не затрагивающие несущие строительные конструкции объекта (за исключением замены отдельных элементов таких конструкций на аналогичные или иные улучшающие показатели таких конструкций элементы). Или если эти изменения в проект не влекут за собой изменение класса, категории и (или) первоначально установленных показателей функционирования линейных объектов.</w:t>
      </w:r>
    </w:p>
    <w:p w:rsidR="00CD5C5E" w:rsidRPr="00CD5C5E" w:rsidRDefault="00CD5C5E" w:rsidP="00CD5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C5E">
        <w:rPr>
          <w:rFonts w:ascii="Times New Roman" w:eastAsia="Times New Roman" w:hAnsi="Times New Roman" w:cs="Times New Roman"/>
          <w:sz w:val="24"/>
          <w:szCs w:val="24"/>
          <w:lang w:eastAsia="ru-RU"/>
        </w:rPr>
        <w:t>Не требуется проведение повторной экспертизы, если изменения, внесенные в проект, не приводят к нарушениям требований технических регламентов, санитарно-эпидемиологических требований, требований в области охраны окружающей среды, промышленной безопасности, государственной охраны объектов культурного наследия, к безопасному использованию атомной энергии, а также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CD5C5E" w:rsidRPr="00CD5C5E" w:rsidRDefault="00CD5C5E" w:rsidP="00CD5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C5E">
        <w:rPr>
          <w:rFonts w:ascii="Times New Roman" w:eastAsia="Times New Roman" w:hAnsi="Times New Roman" w:cs="Times New Roman"/>
          <w:sz w:val="24"/>
          <w:szCs w:val="24"/>
          <w:lang w:eastAsia="ru-RU"/>
        </w:rPr>
        <w:lastRenderedPageBreak/>
        <w:t>Оценивать соответствие изменений, внесенных в проектную документацию и получившую положительное заключение экспертизы проектной документации, всем необходимым требованиям и заданию застройщика или технического заказчика на проектирование, будут органы исполнительной власти или организации, проводившие экспертизу проектной документации.</w:t>
      </w:r>
    </w:p>
    <w:p w:rsidR="00CD5C5E" w:rsidRPr="00CD5C5E" w:rsidRDefault="00CD5C5E" w:rsidP="00CD5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C5E">
        <w:rPr>
          <w:rFonts w:ascii="Times New Roman" w:eastAsia="Times New Roman" w:hAnsi="Times New Roman" w:cs="Times New Roman"/>
          <w:sz w:val="24"/>
          <w:szCs w:val="24"/>
          <w:lang w:eastAsia="ru-RU"/>
        </w:rPr>
        <w:t>Порядок экспертного сопровождения и выдачи заключения экспертизы проектной документации, а также порядок подтверждения в ходе экспертного сопровождения соответствия внесенных в проектную документацию изменений всем необходимым требованиям, устанавливается Правительством Российской Федерации.</w:t>
      </w:r>
    </w:p>
    <w:p w:rsidR="00CD5C5E" w:rsidRPr="00CD5C5E" w:rsidRDefault="00CD5C5E" w:rsidP="00CD5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C5E">
        <w:rPr>
          <w:rFonts w:ascii="Times New Roman" w:eastAsia="Times New Roman" w:hAnsi="Times New Roman" w:cs="Times New Roman"/>
          <w:sz w:val="24"/>
          <w:szCs w:val="24"/>
          <w:lang w:eastAsia="ru-RU"/>
        </w:rPr>
        <w:t>Разработанные меры, при которых экспертиза «встраивается» в процесс строительства, -- новый подход Минстроя по ликвидации административных барьеров при проектировании и строительстве, с полным сохранением требований к безопасности объектов, проработанный по поручению министра Владимира Якушева.</w:t>
      </w:r>
    </w:p>
    <w:p w:rsidR="00CD5C5E" w:rsidRPr="00CD5C5E" w:rsidRDefault="00CD5C5E" w:rsidP="00CD5C5E">
      <w:pPr>
        <w:spacing w:after="240" w:line="240" w:lineRule="auto"/>
        <w:rPr>
          <w:rFonts w:ascii="Times New Roman" w:eastAsia="Times New Roman" w:hAnsi="Times New Roman" w:cs="Times New Roman"/>
          <w:sz w:val="24"/>
          <w:szCs w:val="24"/>
          <w:lang w:eastAsia="ru-RU"/>
        </w:rPr>
      </w:pPr>
    </w:p>
    <w:p w:rsidR="00431D38" w:rsidRDefault="00431D38"/>
    <w:sectPr w:rsidR="00431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BB"/>
    <w:rsid w:val="000014E2"/>
    <w:rsid w:val="000039A0"/>
    <w:rsid w:val="0000468C"/>
    <w:rsid w:val="0002078A"/>
    <w:rsid w:val="00023DC9"/>
    <w:rsid w:val="00025A98"/>
    <w:rsid w:val="000275E9"/>
    <w:rsid w:val="000310D3"/>
    <w:rsid w:val="00032100"/>
    <w:rsid w:val="00032D85"/>
    <w:rsid w:val="000470C2"/>
    <w:rsid w:val="00047CBD"/>
    <w:rsid w:val="00053654"/>
    <w:rsid w:val="00060B83"/>
    <w:rsid w:val="00061A42"/>
    <w:rsid w:val="00083E66"/>
    <w:rsid w:val="00084A23"/>
    <w:rsid w:val="00086F9C"/>
    <w:rsid w:val="000943AB"/>
    <w:rsid w:val="00097280"/>
    <w:rsid w:val="00097467"/>
    <w:rsid w:val="000A1792"/>
    <w:rsid w:val="000A1D65"/>
    <w:rsid w:val="000A33B7"/>
    <w:rsid w:val="000A495F"/>
    <w:rsid w:val="000A4CD3"/>
    <w:rsid w:val="000A6D11"/>
    <w:rsid w:val="000A6D82"/>
    <w:rsid w:val="000A7290"/>
    <w:rsid w:val="000C0E47"/>
    <w:rsid w:val="000C1123"/>
    <w:rsid w:val="000C4D23"/>
    <w:rsid w:val="000C701E"/>
    <w:rsid w:val="000D34A6"/>
    <w:rsid w:val="000D389C"/>
    <w:rsid w:val="000D39D1"/>
    <w:rsid w:val="000E1C75"/>
    <w:rsid w:val="000E2EDB"/>
    <w:rsid w:val="000E43E5"/>
    <w:rsid w:val="000E4516"/>
    <w:rsid w:val="000E6EDF"/>
    <w:rsid w:val="000F4C8D"/>
    <w:rsid w:val="000F737D"/>
    <w:rsid w:val="00100B04"/>
    <w:rsid w:val="00101099"/>
    <w:rsid w:val="0010125E"/>
    <w:rsid w:val="0011450C"/>
    <w:rsid w:val="00116CA7"/>
    <w:rsid w:val="00116EC8"/>
    <w:rsid w:val="00125137"/>
    <w:rsid w:val="00126A94"/>
    <w:rsid w:val="00127D54"/>
    <w:rsid w:val="001310FC"/>
    <w:rsid w:val="00141719"/>
    <w:rsid w:val="001427E0"/>
    <w:rsid w:val="00147E6C"/>
    <w:rsid w:val="00155CE0"/>
    <w:rsid w:val="001648A8"/>
    <w:rsid w:val="00171CD1"/>
    <w:rsid w:val="00174926"/>
    <w:rsid w:val="00175DB7"/>
    <w:rsid w:val="00183D00"/>
    <w:rsid w:val="00184666"/>
    <w:rsid w:val="00185165"/>
    <w:rsid w:val="00192612"/>
    <w:rsid w:val="00193112"/>
    <w:rsid w:val="00196BB2"/>
    <w:rsid w:val="001A2BD6"/>
    <w:rsid w:val="001A42FD"/>
    <w:rsid w:val="001B0473"/>
    <w:rsid w:val="001B0C58"/>
    <w:rsid w:val="001B2802"/>
    <w:rsid w:val="001C0418"/>
    <w:rsid w:val="001C1D87"/>
    <w:rsid w:val="001C536B"/>
    <w:rsid w:val="001C6885"/>
    <w:rsid w:val="001D253F"/>
    <w:rsid w:val="001D78F5"/>
    <w:rsid w:val="001D7C46"/>
    <w:rsid w:val="001E1E1B"/>
    <w:rsid w:val="001E76B4"/>
    <w:rsid w:val="001F5B27"/>
    <w:rsid w:val="001F7112"/>
    <w:rsid w:val="001F7469"/>
    <w:rsid w:val="002009D0"/>
    <w:rsid w:val="00203A5B"/>
    <w:rsid w:val="00203E3C"/>
    <w:rsid w:val="00204BE7"/>
    <w:rsid w:val="00207B11"/>
    <w:rsid w:val="00210BED"/>
    <w:rsid w:val="00211B59"/>
    <w:rsid w:val="00213FD2"/>
    <w:rsid w:val="00214C7A"/>
    <w:rsid w:val="00217CF1"/>
    <w:rsid w:val="002247EE"/>
    <w:rsid w:val="00227FFD"/>
    <w:rsid w:val="00233207"/>
    <w:rsid w:val="00234B66"/>
    <w:rsid w:val="002410E9"/>
    <w:rsid w:val="00242137"/>
    <w:rsid w:val="00242EF5"/>
    <w:rsid w:val="002479A5"/>
    <w:rsid w:val="00253661"/>
    <w:rsid w:val="002539FB"/>
    <w:rsid w:val="00260E9B"/>
    <w:rsid w:val="002675E8"/>
    <w:rsid w:val="00274464"/>
    <w:rsid w:val="00282B64"/>
    <w:rsid w:val="00282C0D"/>
    <w:rsid w:val="002872E3"/>
    <w:rsid w:val="00287783"/>
    <w:rsid w:val="002A6886"/>
    <w:rsid w:val="002B5FDC"/>
    <w:rsid w:val="002B7979"/>
    <w:rsid w:val="002C4119"/>
    <w:rsid w:val="002D166F"/>
    <w:rsid w:val="002D6339"/>
    <w:rsid w:val="002E74BF"/>
    <w:rsid w:val="002E78B9"/>
    <w:rsid w:val="002F1080"/>
    <w:rsid w:val="002F1B54"/>
    <w:rsid w:val="002F3552"/>
    <w:rsid w:val="002F3EA4"/>
    <w:rsid w:val="002F6273"/>
    <w:rsid w:val="00304B63"/>
    <w:rsid w:val="00314870"/>
    <w:rsid w:val="0032171B"/>
    <w:rsid w:val="00322D77"/>
    <w:rsid w:val="00324897"/>
    <w:rsid w:val="00327D9C"/>
    <w:rsid w:val="003304A7"/>
    <w:rsid w:val="003305E0"/>
    <w:rsid w:val="00332CDF"/>
    <w:rsid w:val="0033502C"/>
    <w:rsid w:val="00342ABF"/>
    <w:rsid w:val="0035137A"/>
    <w:rsid w:val="00351E5F"/>
    <w:rsid w:val="0035354E"/>
    <w:rsid w:val="003537E9"/>
    <w:rsid w:val="00356F02"/>
    <w:rsid w:val="00362FDC"/>
    <w:rsid w:val="00367415"/>
    <w:rsid w:val="0036799D"/>
    <w:rsid w:val="0037033E"/>
    <w:rsid w:val="00372674"/>
    <w:rsid w:val="0037345B"/>
    <w:rsid w:val="00373D6F"/>
    <w:rsid w:val="00381169"/>
    <w:rsid w:val="00381303"/>
    <w:rsid w:val="00390C8B"/>
    <w:rsid w:val="00392F09"/>
    <w:rsid w:val="0039497E"/>
    <w:rsid w:val="0039665C"/>
    <w:rsid w:val="003A191C"/>
    <w:rsid w:val="003A58D6"/>
    <w:rsid w:val="003B4341"/>
    <w:rsid w:val="003B4BCC"/>
    <w:rsid w:val="003B6090"/>
    <w:rsid w:val="003B7227"/>
    <w:rsid w:val="003C12E6"/>
    <w:rsid w:val="003C1933"/>
    <w:rsid w:val="003C2AFE"/>
    <w:rsid w:val="003C47C2"/>
    <w:rsid w:val="003D2143"/>
    <w:rsid w:val="003D268F"/>
    <w:rsid w:val="003D3AE5"/>
    <w:rsid w:val="003D43CE"/>
    <w:rsid w:val="003D5F3E"/>
    <w:rsid w:val="003E0ECA"/>
    <w:rsid w:val="003E6C53"/>
    <w:rsid w:val="003E7F59"/>
    <w:rsid w:val="003F3625"/>
    <w:rsid w:val="003F4C36"/>
    <w:rsid w:val="0040081B"/>
    <w:rsid w:val="00403681"/>
    <w:rsid w:val="00403F6F"/>
    <w:rsid w:val="00406EB6"/>
    <w:rsid w:val="004135FF"/>
    <w:rsid w:val="004140C4"/>
    <w:rsid w:val="004210D2"/>
    <w:rsid w:val="0042359F"/>
    <w:rsid w:val="0043183E"/>
    <w:rsid w:val="00431D38"/>
    <w:rsid w:val="0043318E"/>
    <w:rsid w:val="004340E4"/>
    <w:rsid w:val="00434237"/>
    <w:rsid w:val="00434801"/>
    <w:rsid w:val="004360BC"/>
    <w:rsid w:val="0044217D"/>
    <w:rsid w:val="00444606"/>
    <w:rsid w:val="004472AA"/>
    <w:rsid w:val="0045553F"/>
    <w:rsid w:val="004621A4"/>
    <w:rsid w:val="0046230B"/>
    <w:rsid w:val="00466902"/>
    <w:rsid w:val="0046725B"/>
    <w:rsid w:val="0047144B"/>
    <w:rsid w:val="00480B4E"/>
    <w:rsid w:val="00481258"/>
    <w:rsid w:val="00484AFC"/>
    <w:rsid w:val="00491AC3"/>
    <w:rsid w:val="004A2159"/>
    <w:rsid w:val="004A2ABF"/>
    <w:rsid w:val="004A5B82"/>
    <w:rsid w:val="004A6413"/>
    <w:rsid w:val="004A6888"/>
    <w:rsid w:val="004B07D4"/>
    <w:rsid w:val="004C228A"/>
    <w:rsid w:val="004D0096"/>
    <w:rsid w:val="004D7B99"/>
    <w:rsid w:val="004E0623"/>
    <w:rsid w:val="004E635A"/>
    <w:rsid w:val="004E7065"/>
    <w:rsid w:val="004E7961"/>
    <w:rsid w:val="004F0191"/>
    <w:rsid w:val="004F5D95"/>
    <w:rsid w:val="004F5FA7"/>
    <w:rsid w:val="00500C57"/>
    <w:rsid w:val="00502426"/>
    <w:rsid w:val="00504BF5"/>
    <w:rsid w:val="00522E9B"/>
    <w:rsid w:val="00524AA4"/>
    <w:rsid w:val="00526DBF"/>
    <w:rsid w:val="00536A2F"/>
    <w:rsid w:val="00536E0B"/>
    <w:rsid w:val="00537033"/>
    <w:rsid w:val="00541DB6"/>
    <w:rsid w:val="0055724A"/>
    <w:rsid w:val="00560B4F"/>
    <w:rsid w:val="0056149C"/>
    <w:rsid w:val="00564297"/>
    <w:rsid w:val="00564E12"/>
    <w:rsid w:val="00565BA9"/>
    <w:rsid w:val="00565BD6"/>
    <w:rsid w:val="00570309"/>
    <w:rsid w:val="005748B3"/>
    <w:rsid w:val="00586338"/>
    <w:rsid w:val="00586C5C"/>
    <w:rsid w:val="00587433"/>
    <w:rsid w:val="005879A5"/>
    <w:rsid w:val="0059107F"/>
    <w:rsid w:val="00591E5D"/>
    <w:rsid w:val="005A156D"/>
    <w:rsid w:val="005A2DE8"/>
    <w:rsid w:val="005B0201"/>
    <w:rsid w:val="005B27A7"/>
    <w:rsid w:val="005B4321"/>
    <w:rsid w:val="005B729F"/>
    <w:rsid w:val="005D1E61"/>
    <w:rsid w:val="005D2AAE"/>
    <w:rsid w:val="005D7DAE"/>
    <w:rsid w:val="005E0454"/>
    <w:rsid w:val="005F4A81"/>
    <w:rsid w:val="005F5616"/>
    <w:rsid w:val="005F7A29"/>
    <w:rsid w:val="0060257D"/>
    <w:rsid w:val="00605332"/>
    <w:rsid w:val="00607ED7"/>
    <w:rsid w:val="00610F37"/>
    <w:rsid w:val="00613450"/>
    <w:rsid w:val="00617199"/>
    <w:rsid w:val="00625E82"/>
    <w:rsid w:val="0063278D"/>
    <w:rsid w:val="00632EFE"/>
    <w:rsid w:val="00633CC6"/>
    <w:rsid w:val="0063560B"/>
    <w:rsid w:val="00636DE1"/>
    <w:rsid w:val="00640F6A"/>
    <w:rsid w:val="00645F7B"/>
    <w:rsid w:val="0065046F"/>
    <w:rsid w:val="00655AE9"/>
    <w:rsid w:val="00657C5F"/>
    <w:rsid w:val="00660BF2"/>
    <w:rsid w:val="0066547E"/>
    <w:rsid w:val="00666E63"/>
    <w:rsid w:val="00667778"/>
    <w:rsid w:val="006677F0"/>
    <w:rsid w:val="00685109"/>
    <w:rsid w:val="00686B51"/>
    <w:rsid w:val="006912BD"/>
    <w:rsid w:val="00692555"/>
    <w:rsid w:val="00695608"/>
    <w:rsid w:val="00696F04"/>
    <w:rsid w:val="006A0DA3"/>
    <w:rsid w:val="006A3FF5"/>
    <w:rsid w:val="006A5219"/>
    <w:rsid w:val="006A6C1D"/>
    <w:rsid w:val="006B220F"/>
    <w:rsid w:val="006B2A01"/>
    <w:rsid w:val="006C5124"/>
    <w:rsid w:val="006C6611"/>
    <w:rsid w:val="006C67A7"/>
    <w:rsid w:val="006C7488"/>
    <w:rsid w:val="006D14E4"/>
    <w:rsid w:val="006D20A8"/>
    <w:rsid w:val="006D6565"/>
    <w:rsid w:val="006D68FD"/>
    <w:rsid w:val="006E12EF"/>
    <w:rsid w:val="006E1BF0"/>
    <w:rsid w:val="006E452A"/>
    <w:rsid w:val="006E5DAC"/>
    <w:rsid w:val="006F215A"/>
    <w:rsid w:val="006F2AA1"/>
    <w:rsid w:val="006F329A"/>
    <w:rsid w:val="006F3C19"/>
    <w:rsid w:val="007038AE"/>
    <w:rsid w:val="00706FAD"/>
    <w:rsid w:val="00713E24"/>
    <w:rsid w:val="007175E1"/>
    <w:rsid w:val="0072102D"/>
    <w:rsid w:val="00725144"/>
    <w:rsid w:val="0073329C"/>
    <w:rsid w:val="00733717"/>
    <w:rsid w:val="00736AF3"/>
    <w:rsid w:val="007370AF"/>
    <w:rsid w:val="0074121C"/>
    <w:rsid w:val="007418E7"/>
    <w:rsid w:val="00745640"/>
    <w:rsid w:val="007516F9"/>
    <w:rsid w:val="00752F67"/>
    <w:rsid w:val="00754815"/>
    <w:rsid w:val="00754C31"/>
    <w:rsid w:val="00755837"/>
    <w:rsid w:val="00756C1A"/>
    <w:rsid w:val="00761479"/>
    <w:rsid w:val="0077129C"/>
    <w:rsid w:val="0077253E"/>
    <w:rsid w:val="00774DF3"/>
    <w:rsid w:val="00774E31"/>
    <w:rsid w:val="00794849"/>
    <w:rsid w:val="00795580"/>
    <w:rsid w:val="00796690"/>
    <w:rsid w:val="00797BBB"/>
    <w:rsid w:val="007A2E65"/>
    <w:rsid w:val="007A477D"/>
    <w:rsid w:val="007A63C5"/>
    <w:rsid w:val="007B25AE"/>
    <w:rsid w:val="007B368F"/>
    <w:rsid w:val="007B3BEF"/>
    <w:rsid w:val="007B64D8"/>
    <w:rsid w:val="007C12D5"/>
    <w:rsid w:val="007C24F8"/>
    <w:rsid w:val="007C6DD1"/>
    <w:rsid w:val="007C76B9"/>
    <w:rsid w:val="007D6AA8"/>
    <w:rsid w:val="007E16E7"/>
    <w:rsid w:val="007E3ABD"/>
    <w:rsid w:val="007E5137"/>
    <w:rsid w:val="007E7789"/>
    <w:rsid w:val="008101A1"/>
    <w:rsid w:val="00815A3D"/>
    <w:rsid w:val="00817C84"/>
    <w:rsid w:val="0082111C"/>
    <w:rsid w:val="008222F9"/>
    <w:rsid w:val="00826849"/>
    <w:rsid w:val="00830247"/>
    <w:rsid w:val="00835BDB"/>
    <w:rsid w:val="00836E19"/>
    <w:rsid w:val="0083701D"/>
    <w:rsid w:val="00837C78"/>
    <w:rsid w:val="00843757"/>
    <w:rsid w:val="00850F7D"/>
    <w:rsid w:val="0085200A"/>
    <w:rsid w:val="00852921"/>
    <w:rsid w:val="00853D8B"/>
    <w:rsid w:val="008541C6"/>
    <w:rsid w:val="008577EF"/>
    <w:rsid w:val="00861048"/>
    <w:rsid w:val="00865C10"/>
    <w:rsid w:val="00873079"/>
    <w:rsid w:val="00876AFB"/>
    <w:rsid w:val="0088034F"/>
    <w:rsid w:val="00884255"/>
    <w:rsid w:val="00886E0C"/>
    <w:rsid w:val="00890C67"/>
    <w:rsid w:val="00891A40"/>
    <w:rsid w:val="0089246D"/>
    <w:rsid w:val="00894BAB"/>
    <w:rsid w:val="008A11BE"/>
    <w:rsid w:val="008A58D2"/>
    <w:rsid w:val="008B2CEB"/>
    <w:rsid w:val="008B569A"/>
    <w:rsid w:val="008C3B07"/>
    <w:rsid w:val="008C58EB"/>
    <w:rsid w:val="008C6709"/>
    <w:rsid w:val="008E1CB4"/>
    <w:rsid w:val="008F1ACE"/>
    <w:rsid w:val="008F2096"/>
    <w:rsid w:val="008F5308"/>
    <w:rsid w:val="00903D33"/>
    <w:rsid w:val="009046FD"/>
    <w:rsid w:val="009075F9"/>
    <w:rsid w:val="00916BF2"/>
    <w:rsid w:val="00924076"/>
    <w:rsid w:val="00927946"/>
    <w:rsid w:val="009407A2"/>
    <w:rsid w:val="00945932"/>
    <w:rsid w:val="00946385"/>
    <w:rsid w:val="00946F60"/>
    <w:rsid w:val="0095210C"/>
    <w:rsid w:val="009534D6"/>
    <w:rsid w:val="00954B71"/>
    <w:rsid w:val="00957879"/>
    <w:rsid w:val="00961E42"/>
    <w:rsid w:val="0097026E"/>
    <w:rsid w:val="0097460E"/>
    <w:rsid w:val="00977DC3"/>
    <w:rsid w:val="009851E1"/>
    <w:rsid w:val="0099093D"/>
    <w:rsid w:val="00993CF9"/>
    <w:rsid w:val="00994C09"/>
    <w:rsid w:val="009953D6"/>
    <w:rsid w:val="009956FD"/>
    <w:rsid w:val="00996808"/>
    <w:rsid w:val="00996A76"/>
    <w:rsid w:val="009A2689"/>
    <w:rsid w:val="009A680E"/>
    <w:rsid w:val="009A6DEA"/>
    <w:rsid w:val="009B5F00"/>
    <w:rsid w:val="009B61D0"/>
    <w:rsid w:val="009B6D46"/>
    <w:rsid w:val="009C70CF"/>
    <w:rsid w:val="009D1131"/>
    <w:rsid w:val="009E0793"/>
    <w:rsid w:val="009E120B"/>
    <w:rsid w:val="009E73B8"/>
    <w:rsid w:val="009F15B3"/>
    <w:rsid w:val="009F1864"/>
    <w:rsid w:val="009F2FDE"/>
    <w:rsid w:val="009F45D1"/>
    <w:rsid w:val="009F6477"/>
    <w:rsid w:val="009F6CEB"/>
    <w:rsid w:val="00A06100"/>
    <w:rsid w:val="00A1045C"/>
    <w:rsid w:val="00A128CB"/>
    <w:rsid w:val="00A1715B"/>
    <w:rsid w:val="00A230C0"/>
    <w:rsid w:val="00A2334B"/>
    <w:rsid w:val="00A279E9"/>
    <w:rsid w:val="00A451DC"/>
    <w:rsid w:val="00A455B4"/>
    <w:rsid w:val="00A45986"/>
    <w:rsid w:val="00A46EBD"/>
    <w:rsid w:val="00A47E76"/>
    <w:rsid w:val="00A5060F"/>
    <w:rsid w:val="00A56B1A"/>
    <w:rsid w:val="00A66293"/>
    <w:rsid w:val="00A702D0"/>
    <w:rsid w:val="00A727AA"/>
    <w:rsid w:val="00A8379B"/>
    <w:rsid w:val="00A843A6"/>
    <w:rsid w:val="00A86E5C"/>
    <w:rsid w:val="00A90831"/>
    <w:rsid w:val="00A91FD4"/>
    <w:rsid w:val="00A93601"/>
    <w:rsid w:val="00AA6382"/>
    <w:rsid w:val="00AA714D"/>
    <w:rsid w:val="00AB0B9C"/>
    <w:rsid w:val="00AB30CD"/>
    <w:rsid w:val="00AB587F"/>
    <w:rsid w:val="00AB5FD2"/>
    <w:rsid w:val="00AC005B"/>
    <w:rsid w:val="00AC466C"/>
    <w:rsid w:val="00AC594C"/>
    <w:rsid w:val="00AD01A6"/>
    <w:rsid w:val="00AD0E6B"/>
    <w:rsid w:val="00AD429B"/>
    <w:rsid w:val="00AE0856"/>
    <w:rsid w:val="00AE1D15"/>
    <w:rsid w:val="00AE6EBD"/>
    <w:rsid w:val="00AF75EC"/>
    <w:rsid w:val="00B00843"/>
    <w:rsid w:val="00B0330F"/>
    <w:rsid w:val="00B1318C"/>
    <w:rsid w:val="00B15938"/>
    <w:rsid w:val="00B16D5A"/>
    <w:rsid w:val="00B21530"/>
    <w:rsid w:val="00B23960"/>
    <w:rsid w:val="00B25A8E"/>
    <w:rsid w:val="00B2617F"/>
    <w:rsid w:val="00B26BDF"/>
    <w:rsid w:val="00B30DB2"/>
    <w:rsid w:val="00B40AF1"/>
    <w:rsid w:val="00B44C96"/>
    <w:rsid w:val="00B5042B"/>
    <w:rsid w:val="00B5642C"/>
    <w:rsid w:val="00B67FAD"/>
    <w:rsid w:val="00B73BB4"/>
    <w:rsid w:val="00B86F06"/>
    <w:rsid w:val="00B965FB"/>
    <w:rsid w:val="00BA1314"/>
    <w:rsid w:val="00BA2D92"/>
    <w:rsid w:val="00BA4CBB"/>
    <w:rsid w:val="00BA5420"/>
    <w:rsid w:val="00BB00F9"/>
    <w:rsid w:val="00BB5A62"/>
    <w:rsid w:val="00BB64CD"/>
    <w:rsid w:val="00BC2B0A"/>
    <w:rsid w:val="00BD3F9D"/>
    <w:rsid w:val="00BE46B3"/>
    <w:rsid w:val="00BF4783"/>
    <w:rsid w:val="00BF7836"/>
    <w:rsid w:val="00C02A12"/>
    <w:rsid w:val="00C0474D"/>
    <w:rsid w:val="00C07C42"/>
    <w:rsid w:val="00C14995"/>
    <w:rsid w:val="00C14AEA"/>
    <w:rsid w:val="00C30B5B"/>
    <w:rsid w:val="00C32EFF"/>
    <w:rsid w:val="00C341DC"/>
    <w:rsid w:val="00C3547D"/>
    <w:rsid w:val="00C3693F"/>
    <w:rsid w:val="00C37684"/>
    <w:rsid w:val="00C443FC"/>
    <w:rsid w:val="00C47D0F"/>
    <w:rsid w:val="00C53F97"/>
    <w:rsid w:val="00C54716"/>
    <w:rsid w:val="00C54FA6"/>
    <w:rsid w:val="00C5778C"/>
    <w:rsid w:val="00C6015A"/>
    <w:rsid w:val="00C61EB3"/>
    <w:rsid w:val="00C62C72"/>
    <w:rsid w:val="00C642E1"/>
    <w:rsid w:val="00C66DD1"/>
    <w:rsid w:val="00C72592"/>
    <w:rsid w:val="00C728B7"/>
    <w:rsid w:val="00C81C64"/>
    <w:rsid w:val="00C826B4"/>
    <w:rsid w:val="00C84C42"/>
    <w:rsid w:val="00C86A64"/>
    <w:rsid w:val="00C8754A"/>
    <w:rsid w:val="00C91F07"/>
    <w:rsid w:val="00C92BDE"/>
    <w:rsid w:val="00C943A4"/>
    <w:rsid w:val="00CA26DF"/>
    <w:rsid w:val="00CA4990"/>
    <w:rsid w:val="00CA7818"/>
    <w:rsid w:val="00CB0880"/>
    <w:rsid w:val="00CB4892"/>
    <w:rsid w:val="00CC2DF4"/>
    <w:rsid w:val="00CC4B4C"/>
    <w:rsid w:val="00CC6AC8"/>
    <w:rsid w:val="00CD0173"/>
    <w:rsid w:val="00CD1307"/>
    <w:rsid w:val="00CD30A1"/>
    <w:rsid w:val="00CD5C5E"/>
    <w:rsid w:val="00CD6B07"/>
    <w:rsid w:val="00CE0F34"/>
    <w:rsid w:val="00CE1B47"/>
    <w:rsid w:val="00CE1E14"/>
    <w:rsid w:val="00CE2B69"/>
    <w:rsid w:val="00CE420B"/>
    <w:rsid w:val="00CE4512"/>
    <w:rsid w:val="00CE45F7"/>
    <w:rsid w:val="00CF23C0"/>
    <w:rsid w:val="00CF23E1"/>
    <w:rsid w:val="00CF614A"/>
    <w:rsid w:val="00CF6734"/>
    <w:rsid w:val="00CF7EB0"/>
    <w:rsid w:val="00D02843"/>
    <w:rsid w:val="00D10AFF"/>
    <w:rsid w:val="00D12D14"/>
    <w:rsid w:val="00D141BE"/>
    <w:rsid w:val="00D3178E"/>
    <w:rsid w:val="00D3654D"/>
    <w:rsid w:val="00D410AB"/>
    <w:rsid w:val="00D44095"/>
    <w:rsid w:val="00D56E17"/>
    <w:rsid w:val="00D579A1"/>
    <w:rsid w:val="00D62796"/>
    <w:rsid w:val="00D635DB"/>
    <w:rsid w:val="00D6586D"/>
    <w:rsid w:val="00D65BF8"/>
    <w:rsid w:val="00D72CCE"/>
    <w:rsid w:val="00D75C0E"/>
    <w:rsid w:val="00D81530"/>
    <w:rsid w:val="00D817D4"/>
    <w:rsid w:val="00D8584E"/>
    <w:rsid w:val="00D863EA"/>
    <w:rsid w:val="00D90871"/>
    <w:rsid w:val="00D96419"/>
    <w:rsid w:val="00DA0205"/>
    <w:rsid w:val="00DA04E4"/>
    <w:rsid w:val="00DA2E82"/>
    <w:rsid w:val="00DA4BD0"/>
    <w:rsid w:val="00DB083F"/>
    <w:rsid w:val="00DB0E31"/>
    <w:rsid w:val="00DB4408"/>
    <w:rsid w:val="00DC00D8"/>
    <w:rsid w:val="00DC1DAB"/>
    <w:rsid w:val="00DC6BCF"/>
    <w:rsid w:val="00DD55CF"/>
    <w:rsid w:val="00DE1187"/>
    <w:rsid w:val="00DE1EFD"/>
    <w:rsid w:val="00E017CA"/>
    <w:rsid w:val="00E04DE0"/>
    <w:rsid w:val="00E157FF"/>
    <w:rsid w:val="00E16072"/>
    <w:rsid w:val="00E16E36"/>
    <w:rsid w:val="00E23FD8"/>
    <w:rsid w:val="00E3150D"/>
    <w:rsid w:val="00E31990"/>
    <w:rsid w:val="00E3273A"/>
    <w:rsid w:val="00E34995"/>
    <w:rsid w:val="00E366A3"/>
    <w:rsid w:val="00E45581"/>
    <w:rsid w:val="00E45669"/>
    <w:rsid w:val="00E46900"/>
    <w:rsid w:val="00E50D1D"/>
    <w:rsid w:val="00E54297"/>
    <w:rsid w:val="00E64EA4"/>
    <w:rsid w:val="00E65876"/>
    <w:rsid w:val="00E723E8"/>
    <w:rsid w:val="00E7299B"/>
    <w:rsid w:val="00E82725"/>
    <w:rsid w:val="00E84B13"/>
    <w:rsid w:val="00E87997"/>
    <w:rsid w:val="00E930B3"/>
    <w:rsid w:val="00E95448"/>
    <w:rsid w:val="00EA3A9F"/>
    <w:rsid w:val="00EA67E6"/>
    <w:rsid w:val="00EA71D1"/>
    <w:rsid w:val="00EB441F"/>
    <w:rsid w:val="00EC2111"/>
    <w:rsid w:val="00EC2C03"/>
    <w:rsid w:val="00EC4353"/>
    <w:rsid w:val="00EC4629"/>
    <w:rsid w:val="00EC6ACF"/>
    <w:rsid w:val="00ED13F5"/>
    <w:rsid w:val="00ED283E"/>
    <w:rsid w:val="00ED32B0"/>
    <w:rsid w:val="00EE3BCF"/>
    <w:rsid w:val="00EF34C8"/>
    <w:rsid w:val="00EF653B"/>
    <w:rsid w:val="00F039FC"/>
    <w:rsid w:val="00F060F5"/>
    <w:rsid w:val="00F06DFA"/>
    <w:rsid w:val="00F13373"/>
    <w:rsid w:val="00F153D8"/>
    <w:rsid w:val="00F154D1"/>
    <w:rsid w:val="00F16087"/>
    <w:rsid w:val="00F21096"/>
    <w:rsid w:val="00F24E0E"/>
    <w:rsid w:val="00F42628"/>
    <w:rsid w:val="00F42DBA"/>
    <w:rsid w:val="00F51C5C"/>
    <w:rsid w:val="00F61C5B"/>
    <w:rsid w:val="00F650B2"/>
    <w:rsid w:val="00F705CB"/>
    <w:rsid w:val="00F714F6"/>
    <w:rsid w:val="00F77835"/>
    <w:rsid w:val="00F80C9F"/>
    <w:rsid w:val="00F82442"/>
    <w:rsid w:val="00F84E1D"/>
    <w:rsid w:val="00F94871"/>
    <w:rsid w:val="00F97C18"/>
    <w:rsid w:val="00FA145A"/>
    <w:rsid w:val="00FA43E0"/>
    <w:rsid w:val="00FA5DE1"/>
    <w:rsid w:val="00FA6A10"/>
    <w:rsid w:val="00FB01A2"/>
    <w:rsid w:val="00FB0DFA"/>
    <w:rsid w:val="00FB373D"/>
    <w:rsid w:val="00FB6B8A"/>
    <w:rsid w:val="00FB776C"/>
    <w:rsid w:val="00FC3086"/>
    <w:rsid w:val="00FC3493"/>
    <w:rsid w:val="00FC41C6"/>
    <w:rsid w:val="00FD115A"/>
    <w:rsid w:val="00FD172B"/>
    <w:rsid w:val="00FD2FA5"/>
    <w:rsid w:val="00FD56FB"/>
    <w:rsid w:val="00FD5EDD"/>
    <w:rsid w:val="00FE2074"/>
    <w:rsid w:val="00FE2596"/>
    <w:rsid w:val="00FE3A22"/>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21197-2730-470C-B798-84713185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4589">
      <w:bodyDiv w:val="1"/>
      <w:marLeft w:val="0"/>
      <w:marRight w:val="0"/>
      <w:marTop w:val="0"/>
      <w:marBottom w:val="0"/>
      <w:divBdr>
        <w:top w:val="none" w:sz="0" w:space="0" w:color="auto"/>
        <w:left w:val="none" w:sz="0" w:space="0" w:color="auto"/>
        <w:bottom w:val="none" w:sz="0" w:space="0" w:color="auto"/>
        <w:right w:val="none" w:sz="0" w:space="0" w:color="auto"/>
      </w:divBdr>
      <w:divsChild>
        <w:div w:id="1552500909">
          <w:marLeft w:val="0"/>
          <w:marRight w:val="0"/>
          <w:marTop w:val="0"/>
          <w:marBottom w:val="0"/>
          <w:divBdr>
            <w:top w:val="none" w:sz="0" w:space="0" w:color="auto"/>
            <w:left w:val="none" w:sz="0" w:space="0" w:color="auto"/>
            <w:bottom w:val="none" w:sz="0" w:space="0" w:color="auto"/>
            <w:right w:val="none" w:sz="0" w:space="0" w:color="auto"/>
          </w:divBdr>
          <w:divsChild>
            <w:div w:id="649797750">
              <w:marLeft w:val="0"/>
              <w:marRight w:val="0"/>
              <w:marTop w:val="0"/>
              <w:marBottom w:val="0"/>
              <w:divBdr>
                <w:top w:val="none" w:sz="0" w:space="0" w:color="auto"/>
                <w:left w:val="none" w:sz="0" w:space="0" w:color="auto"/>
                <w:bottom w:val="none" w:sz="0" w:space="0" w:color="auto"/>
                <w:right w:val="none" w:sz="0" w:space="0" w:color="auto"/>
              </w:divBdr>
              <w:divsChild>
                <w:div w:id="1605966077">
                  <w:marLeft w:val="0"/>
                  <w:marRight w:val="0"/>
                  <w:marTop w:val="0"/>
                  <w:marBottom w:val="0"/>
                  <w:divBdr>
                    <w:top w:val="none" w:sz="0" w:space="0" w:color="auto"/>
                    <w:left w:val="none" w:sz="0" w:space="0" w:color="auto"/>
                    <w:bottom w:val="none" w:sz="0" w:space="0" w:color="auto"/>
                    <w:right w:val="none" w:sz="0" w:space="0" w:color="auto"/>
                  </w:divBdr>
                  <w:divsChild>
                    <w:div w:id="1697537260">
                      <w:marLeft w:val="0"/>
                      <w:marRight w:val="0"/>
                      <w:marTop w:val="0"/>
                      <w:marBottom w:val="0"/>
                      <w:divBdr>
                        <w:top w:val="none" w:sz="0" w:space="0" w:color="auto"/>
                        <w:left w:val="none" w:sz="0" w:space="0" w:color="auto"/>
                        <w:bottom w:val="none" w:sz="0" w:space="0" w:color="auto"/>
                        <w:right w:val="none" w:sz="0" w:space="0" w:color="auto"/>
                      </w:divBdr>
                      <w:divsChild>
                        <w:div w:id="328488188">
                          <w:marLeft w:val="0"/>
                          <w:marRight w:val="0"/>
                          <w:marTop w:val="0"/>
                          <w:marBottom w:val="0"/>
                          <w:divBdr>
                            <w:top w:val="none" w:sz="0" w:space="0" w:color="auto"/>
                            <w:left w:val="none" w:sz="0" w:space="0" w:color="auto"/>
                            <w:bottom w:val="none" w:sz="0" w:space="0" w:color="auto"/>
                            <w:right w:val="none" w:sz="0" w:space="0" w:color="auto"/>
                          </w:divBdr>
                          <w:divsChild>
                            <w:div w:id="200673961">
                              <w:marLeft w:val="0"/>
                              <w:marRight w:val="0"/>
                              <w:marTop w:val="0"/>
                              <w:marBottom w:val="0"/>
                              <w:divBdr>
                                <w:top w:val="none" w:sz="0" w:space="0" w:color="auto"/>
                                <w:left w:val="none" w:sz="0" w:space="0" w:color="auto"/>
                                <w:bottom w:val="none" w:sz="0" w:space="0" w:color="auto"/>
                                <w:right w:val="none" w:sz="0" w:space="0" w:color="auto"/>
                              </w:divBdr>
                              <w:divsChild>
                                <w:div w:id="874082540">
                                  <w:marLeft w:val="0"/>
                                  <w:marRight w:val="0"/>
                                  <w:marTop w:val="0"/>
                                  <w:marBottom w:val="0"/>
                                  <w:divBdr>
                                    <w:top w:val="none" w:sz="0" w:space="0" w:color="auto"/>
                                    <w:left w:val="none" w:sz="0" w:space="0" w:color="auto"/>
                                    <w:bottom w:val="none" w:sz="0" w:space="0" w:color="auto"/>
                                    <w:right w:val="none" w:sz="0" w:space="0" w:color="auto"/>
                                  </w:divBdr>
                                  <w:divsChild>
                                    <w:div w:id="641811749">
                                      <w:marLeft w:val="0"/>
                                      <w:marRight w:val="0"/>
                                      <w:marTop w:val="0"/>
                                      <w:marBottom w:val="0"/>
                                      <w:divBdr>
                                        <w:top w:val="none" w:sz="0" w:space="0" w:color="auto"/>
                                        <w:left w:val="none" w:sz="0" w:space="0" w:color="auto"/>
                                        <w:bottom w:val="none" w:sz="0" w:space="0" w:color="auto"/>
                                        <w:right w:val="none" w:sz="0" w:space="0" w:color="auto"/>
                                      </w:divBdr>
                                    </w:div>
                                  </w:divsChild>
                                </w:div>
                                <w:div w:id="206376267">
                                  <w:marLeft w:val="0"/>
                                  <w:marRight w:val="0"/>
                                  <w:marTop w:val="0"/>
                                  <w:marBottom w:val="0"/>
                                  <w:divBdr>
                                    <w:top w:val="none" w:sz="0" w:space="0" w:color="auto"/>
                                    <w:left w:val="none" w:sz="0" w:space="0" w:color="auto"/>
                                    <w:bottom w:val="none" w:sz="0" w:space="0" w:color="auto"/>
                                    <w:right w:val="none" w:sz="0" w:space="0" w:color="auto"/>
                                  </w:divBdr>
                                  <w:divsChild>
                                    <w:div w:id="817766212">
                                      <w:marLeft w:val="0"/>
                                      <w:marRight w:val="0"/>
                                      <w:marTop w:val="0"/>
                                      <w:marBottom w:val="0"/>
                                      <w:divBdr>
                                        <w:top w:val="none" w:sz="0" w:space="0" w:color="auto"/>
                                        <w:left w:val="none" w:sz="0" w:space="0" w:color="auto"/>
                                        <w:bottom w:val="none" w:sz="0" w:space="0" w:color="auto"/>
                                        <w:right w:val="none" w:sz="0" w:space="0" w:color="auto"/>
                                      </w:divBdr>
                                      <w:divsChild>
                                        <w:div w:id="1714962429">
                                          <w:marLeft w:val="0"/>
                                          <w:marRight w:val="0"/>
                                          <w:marTop w:val="0"/>
                                          <w:marBottom w:val="0"/>
                                          <w:divBdr>
                                            <w:top w:val="none" w:sz="0" w:space="0" w:color="auto"/>
                                            <w:left w:val="none" w:sz="0" w:space="0" w:color="auto"/>
                                            <w:bottom w:val="none" w:sz="0" w:space="0" w:color="auto"/>
                                            <w:right w:val="none" w:sz="0" w:space="0" w:color="auto"/>
                                          </w:divBdr>
                                          <w:divsChild>
                                            <w:div w:id="1694065027">
                                              <w:marLeft w:val="0"/>
                                              <w:marRight w:val="0"/>
                                              <w:marTop w:val="0"/>
                                              <w:marBottom w:val="0"/>
                                              <w:divBdr>
                                                <w:top w:val="none" w:sz="0" w:space="0" w:color="auto"/>
                                                <w:left w:val="none" w:sz="0" w:space="0" w:color="auto"/>
                                                <w:bottom w:val="none" w:sz="0" w:space="0" w:color="auto"/>
                                                <w:right w:val="none" w:sz="0" w:space="0" w:color="auto"/>
                                              </w:divBdr>
                                              <w:divsChild>
                                                <w:div w:id="1498108096">
                                                  <w:marLeft w:val="0"/>
                                                  <w:marRight w:val="0"/>
                                                  <w:marTop w:val="0"/>
                                                  <w:marBottom w:val="0"/>
                                                  <w:divBdr>
                                                    <w:top w:val="none" w:sz="0" w:space="0" w:color="auto"/>
                                                    <w:left w:val="none" w:sz="0" w:space="0" w:color="auto"/>
                                                    <w:bottom w:val="none" w:sz="0" w:space="0" w:color="auto"/>
                                                    <w:right w:val="none" w:sz="0" w:space="0" w:color="auto"/>
                                                  </w:divBdr>
                                                  <w:divsChild>
                                                    <w:div w:id="1828474891">
                                                      <w:marLeft w:val="0"/>
                                                      <w:marRight w:val="0"/>
                                                      <w:marTop w:val="0"/>
                                                      <w:marBottom w:val="0"/>
                                                      <w:divBdr>
                                                        <w:top w:val="none" w:sz="0" w:space="0" w:color="auto"/>
                                                        <w:left w:val="none" w:sz="0" w:space="0" w:color="auto"/>
                                                        <w:bottom w:val="none" w:sz="0" w:space="0" w:color="auto"/>
                                                        <w:right w:val="none" w:sz="0" w:space="0" w:color="auto"/>
                                                      </w:divBdr>
                                                      <w:divsChild>
                                                        <w:div w:id="9048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1863">
                                              <w:marLeft w:val="0"/>
                                              <w:marRight w:val="0"/>
                                              <w:marTop w:val="0"/>
                                              <w:marBottom w:val="0"/>
                                              <w:divBdr>
                                                <w:top w:val="none" w:sz="0" w:space="0" w:color="auto"/>
                                                <w:left w:val="none" w:sz="0" w:space="0" w:color="auto"/>
                                                <w:bottom w:val="none" w:sz="0" w:space="0" w:color="auto"/>
                                                <w:right w:val="none" w:sz="0" w:space="0" w:color="auto"/>
                                              </w:divBdr>
                                            </w:div>
                                          </w:divsChild>
                                        </w:div>
                                        <w:div w:id="1345011581">
                                          <w:marLeft w:val="0"/>
                                          <w:marRight w:val="0"/>
                                          <w:marTop w:val="0"/>
                                          <w:marBottom w:val="0"/>
                                          <w:divBdr>
                                            <w:top w:val="none" w:sz="0" w:space="0" w:color="auto"/>
                                            <w:left w:val="none" w:sz="0" w:space="0" w:color="auto"/>
                                            <w:bottom w:val="none" w:sz="0" w:space="0" w:color="auto"/>
                                            <w:right w:val="none" w:sz="0" w:space="0" w:color="auto"/>
                                          </w:divBdr>
                                          <w:divsChild>
                                            <w:div w:id="591624262">
                                              <w:marLeft w:val="0"/>
                                              <w:marRight w:val="0"/>
                                              <w:marTop w:val="0"/>
                                              <w:marBottom w:val="0"/>
                                              <w:divBdr>
                                                <w:top w:val="none" w:sz="0" w:space="0" w:color="auto"/>
                                                <w:left w:val="none" w:sz="0" w:space="0" w:color="auto"/>
                                                <w:bottom w:val="none" w:sz="0" w:space="0" w:color="auto"/>
                                                <w:right w:val="none" w:sz="0" w:space="0" w:color="auto"/>
                                              </w:divBdr>
                                              <w:divsChild>
                                                <w:div w:id="2109350004">
                                                  <w:marLeft w:val="0"/>
                                                  <w:marRight w:val="0"/>
                                                  <w:marTop w:val="0"/>
                                                  <w:marBottom w:val="0"/>
                                                  <w:divBdr>
                                                    <w:top w:val="none" w:sz="0" w:space="0" w:color="auto"/>
                                                    <w:left w:val="none" w:sz="0" w:space="0" w:color="auto"/>
                                                    <w:bottom w:val="none" w:sz="0" w:space="0" w:color="auto"/>
                                                    <w:right w:val="none" w:sz="0" w:space="0" w:color="auto"/>
                                                  </w:divBdr>
                                                  <w:divsChild>
                                                    <w:div w:id="1533495281">
                                                      <w:marLeft w:val="0"/>
                                                      <w:marRight w:val="0"/>
                                                      <w:marTop w:val="0"/>
                                                      <w:marBottom w:val="0"/>
                                                      <w:divBdr>
                                                        <w:top w:val="none" w:sz="0" w:space="0" w:color="auto"/>
                                                        <w:left w:val="none" w:sz="0" w:space="0" w:color="auto"/>
                                                        <w:bottom w:val="none" w:sz="0" w:space="0" w:color="auto"/>
                                                        <w:right w:val="none" w:sz="0" w:space="0" w:color="auto"/>
                                                      </w:divBdr>
                                                    </w:div>
                                                  </w:divsChild>
                                                </w:div>
                                                <w:div w:id="3436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46459">
          <w:marLeft w:val="0"/>
          <w:marRight w:val="0"/>
          <w:marTop w:val="0"/>
          <w:marBottom w:val="0"/>
          <w:divBdr>
            <w:top w:val="none" w:sz="0" w:space="0" w:color="auto"/>
            <w:left w:val="none" w:sz="0" w:space="0" w:color="auto"/>
            <w:bottom w:val="none" w:sz="0" w:space="0" w:color="auto"/>
            <w:right w:val="none" w:sz="0" w:space="0" w:color="auto"/>
          </w:divBdr>
          <w:divsChild>
            <w:div w:id="811364299">
              <w:marLeft w:val="0"/>
              <w:marRight w:val="0"/>
              <w:marTop w:val="0"/>
              <w:marBottom w:val="0"/>
              <w:divBdr>
                <w:top w:val="none" w:sz="0" w:space="0" w:color="auto"/>
                <w:left w:val="none" w:sz="0" w:space="0" w:color="auto"/>
                <w:bottom w:val="none" w:sz="0" w:space="0" w:color="auto"/>
                <w:right w:val="none" w:sz="0" w:space="0" w:color="auto"/>
              </w:divBdr>
              <w:divsChild>
                <w:div w:id="311521444">
                  <w:marLeft w:val="0"/>
                  <w:marRight w:val="0"/>
                  <w:marTop w:val="0"/>
                  <w:marBottom w:val="0"/>
                  <w:divBdr>
                    <w:top w:val="none" w:sz="0" w:space="0" w:color="auto"/>
                    <w:left w:val="none" w:sz="0" w:space="0" w:color="auto"/>
                    <w:bottom w:val="none" w:sz="0" w:space="0" w:color="auto"/>
                    <w:right w:val="none" w:sz="0" w:space="0" w:color="auto"/>
                  </w:divBdr>
                  <w:divsChild>
                    <w:div w:id="732192690">
                      <w:marLeft w:val="0"/>
                      <w:marRight w:val="0"/>
                      <w:marTop w:val="0"/>
                      <w:marBottom w:val="0"/>
                      <w:divBdr>
                        <w:top w:val="none" w:sz="0" w:space="0" w:color="auto"/>
                        <w:left w:val="none" w:sz="0" w:space="0" w:color="auto"/>
                        <w:bottom w:val="none" w:sz="0" w:space="0" w:color="auto"/>
                        <w:right w:val="none" w:sz="0" w:space="0" w:color="auto"/>
                      </w:divBdr>
                      <w:divsChild>
                        <w:div w:id="575019314">
                          <w:marLeft w:val="0"/>
                          <w:marRight w:val="0"/>
                          <w:marTop w:val="0"/>
                          <w:marBottom w:val="0"/>
                          <w:divBdr>
                            <w:top w:val="none" w:sz="0" w:space="0" w:color="auto"/>
                            <w:left w:val="none" w:sz="0" w:space="0" w:color="auto"/>
                            <w:bottom w:val="none" w:sz="0" w:space="0" w:color="auto"/>
                            <w:right w:val="none" w:sz="0" w:space="0" w:color="auto"/>
                          </w:divBdr>
                        </w:div>
                        <w:div w:id="1821313609">
                          <w:marLeft w:val="0"/>
                          <w:marRight w:val="0"/>
                          <w:marTop w:val="0"/>
                          <w:marBottom w:val="0"/>
                          <w:divBdr>
                            <w:top w:val="none" w:sz="0" w:space="0" w:color="auto"/>
                            <w:left w:val="none" w:sz="0" w:space="0" w:color="auto"/>
                            <w:bottom w:val="none" w:sz="0" w:space="0" w:color="auto"/>
                            <w:right w:val="none" w:sz="0" w:space="0" w:color="auto"/>
                          </w:divBdr>
                          <w:divsChild>
                            <w:div w:id="304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3205">
                      <w:marLeft w:val="0"/>
                      <w:marRight w:val="0"/>
                      <w:marTop w:val="0"/>
                      <w:marBottom w:val="0"/>
                      <w:divBdr>
                        <w:top w:val="none" w:sz="0" w:space="0" w:color="auto"/>
                        <w:left w:val="none" w:sz="0" w:space="0" w:color="auto"/>
                        <w:bottom w:val="none" w:sz="0" w:space="0" w:color="auto"/>
                        <w:right w:val="none" w:sz="0" w:space="0" w:color="auto"/>
                      </w:divBdr>
                    </w:div>
                  </w:divsChild>
                </w:div>
                <w:div w:id="1151217859">
                  <w:marLeft w:val="0"/>
                  <w:marRight w:val="0"/>
                  <w:marTop w:val="0"/>
                  <w:marBottom w:val="0"/>
                  <w:divBdr>
                    <w:top w:val="none" w:sz="0" w:space="0" w:color="auto"/>
                    <w:left w:val="none" w:sz="0" w:space="0" w:color="auto"/>
                    <w:bottom w:val="none" w:sz="0" w:space="0" w:color="auto"/>
                    <w:right w:val="none" w:sz="0" w:space="0" w:color="auto"/>
                  </w:divBdr>
                  <w:divsChild>
                    <w:div w:id="15830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s01.cap.ru/www19/construc/news/2019/07/01/296365f0-ada9-4c25-8d8a-91b1c3494073/nadpis-minstroy.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 Светлана Николаева</dc:creator>
  <cp:keywords/>
  <dc:description/>
  <cp:lastModifiedBy>Адм. Красночетайского района Лариса Зайцева</cp:lastModifiedBy>
  <cp:revision>2</cp:revision>
  <dcterms:created xsi:type="dcterms:W3CDTF">2019-10-21T13:39:00Z</dcterms:created>
  <dcterms:modified xsi:type="dcterms:W3CDTF">2019-10-21T13:39:00Z</dcterms:modified>
</cp:coreProperties>
</file>